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490A4366" w:rsidR="00A76F2E" w:rsidRPr="009A297E" w:rsidRDefault="009A297E" w:rsidP="003266B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560F09">
        <w:rPr>
          <w:sz w:val="18"/>
        </w:rPr>
        <w:t>30</w:t>
      </w:r>
      <w:r w:rsidRPr="009A297E">
        <w:rPr>
          <w:sz w:val="18"/>
        </w:rPr>
        <w:t>.</w:t>
      </w:r>
      <w:r w:rsidR="00933754">
        <w:rPr>
          <w:sz w:val="18"/>
        </w:rPr>
        <w:t xml:space="preserve"> 4.</w:t>
      </w:r>
      <w:r w:rsidRPr="009A297E">
        <w:rPr>
          <w:sz w:val="18"/>
        </w:rPr>
        <w:t xml:space="preserve"> 20</w:t>
      </w:r>
      <w:r w:rsidR="007D6A80">
        <w:rPr>
          <w:sz w:val="18"/>
        </w:rPr>
        <w:t>2</w:t>
      </w:r>
      <w:r w:rsidR="001019E5">
        <w:rPr>
          <w:sz w:val="18"/>
        </w:rPr>
        <w:t>1</w:t>
      </w:r>
    </w:p>
    <w:p w14:paraId="64E7CC2B" w14:textId="77777777" w:rsidR="009A297E" w:rsidRPr="001E2E64" w:rsidRDefault="009A297E" w:rsidP="003266B8">
      <w:pPr>
        <w:jc w:val="both"/>
      </w:pPr>
    </w:p>
    <w:p w14:paraId="15934249" w14:textId="2A447EE7" w:rsidR="006F23D6" w:rsidRPr="00D6391A" w:rsidRDefault="00933754" w:rsidP="003266B8">
      <w:pPr>
        <w:jc w:val="both"/>
        <w:rPr>
          <w:rFonts w:cstheme="minorHAnsi"/>
          <w:b/>
          <w:sz w:val="32"/>
          <w:szCs w:val="32"/>
        </w:rPr>
      </w:pPr>
      <w:r w:rsidRPr="00D6391A">
        <w:rPr>
          <w:rFonts w:cstheme="minorHAnsi"/>
          <w:b/>
          <w:sz w:val="32"/>
          <w:szCs w:val="32"/>
        </w:rPr>
        <w:t xml:space="preserve">Byty v Brně </w:t>
      </w:r>
      <w:r w:rsidR="00587CA6" w:rsidRPr="00D6391A">
        <w:rPr>
          <w:rFonts w:cstheme="minorHAnsi"/>
          <w:b/>
          <w:sz w:val="32"/>
          <w:szCs w:val="32"/>
        </w:rPr>
        <w:t>za rok</w:t>
      </w:r>
      <w:r w:rsidRPr="00D6391A">
        <w:rPr>
          <w:rFonts w:cstheme="minorHAnsi"/>
          <w:b/>
          <w:sz w:val="32"/>
          <w:szCs w:val="32"/>
        </w:rPr>
        <w:t xml:space="preserve"> zdražily o </w:t>
      </w:r>
      <w:r w:rsidR="00C20F7D" w:rsidRPr="00D6391A">
        <w:rPr>
          <w:rFonts w:cstheme="minorHAnsi"/>
          <w:b/>
          <w:sz w:val="32"/>
          <w:szCs w:val="32"/>
        </w:rPr>
        <w:t>čtvrtinu</w:t>
      </w:r>
      <w:r w:rsidR="00D6391A" w:rsidRPr="00D6391A">
        <w:rPr>
          <w:rFonts w:cstheme="minorHAnsi"/>
          <w:b/>
          <w:sz w:val="32"/>
          <w:szCs w:val="32"/>
        </w:rPr>
        <w:t xml:space="preserve">. </w:t>
      </w:r>
      <w:r w:rsidR="00647F76" w:rsidRPr="00D6391A">
        <w:rPr>
          <w:rFonts w:cstheme="minorHAnsi"/>
          <w:b/>
          <w:sz w:val="32"/>
          <w:szCs w:val="32"/>
        </w:rPr>
        <w:t>Na</w:t>
      </w:r>
      <w:r w:rsidR="006F23D6" w:rsidRPr="00D6391A">
        <w:rPr>
          <w:rFonts w:cstheme="minorHAnsi"/>
          <w:b/>
          <w:sz w:val="32"/>
          <w:szCs w:val="32"/>
        </w:rPr>
        <w:t xml:space="preserve"> vlastní </w:t>
      </w:r>
      <w:r w:rsidR="00647F76" w:rsidRPr="00D6391A">
        <w:rPr>
          <w:rFonts w:cstheme="minorHAnsi"/>
          <w:b/>
          <w:sz w:val="32"/>
          <w:szCs w:val="32"/>
        </w:rPr>
        <w:t>bydlení už střední třída</w:t>
      </w:r>
      <w:r w:rsidR="006F23D6" w:rsidRPr="00D6391A">
        <w:rPr>
          <w:rFonts w:cstheme="minorHAnsi"/>
          <w:b/>
          <w:sz w:val="32"/>
          <w:szCs w:val="32"/>
        </w:rPr>
        <w:t xml:space="preserve"> nedosáhne</w:t>
      </w:r>
    </w:p>
    <w:p w14:paraId="10BA45DD" w14:textId="77777777" w:rsidR="00B656E4" w:rsidRDefault="00B656E4" w:rsidP="003266B8">
      <w:pPr>
        <w:jc w:val="both"/>
        <w:rPr>
          <w:rFonts w:ascii="Arial" w:hAnsi="Arial" w:cs="Arial"/>
          <w:b/>
        </w:rPr>
      </w:pPr>
    </w:p>
    <w:p w14:paraId="40DFFB1A" w14:textId="32DEF631" w:rsidR="006F23D6" w:rsidRDefault="006F23D6" w:rsidP="009A3EB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Průměrná cena metru čtverečního </w:t>
      </w:r>
      <w:r w:rsidR="00647F76">
        <w:rPr>
          <w:rFonts w:cstheme="minorHAnsi"/>
          <w:b/>
        </w:rPr>
        <w:t>nového</w:t>
      </w:r>
      <w:r>
        <w:rPr>
          <w:rFonts w:cstheme="minorHAnsi"/>
          <w:b/>
        </w:rPr>
        <w:t xml:space="preserve"> bytu v</w:t>
      </w:r>
      <w:r w:rsidR="00647F76">
        <w:rPr>
          <w:rFonts w:cstheme="minorHAnsi"/>
          <w:b/>
        </w:rPr>
        <w:t> brněnské nabídce</w:t>
      </w:r>
      <w:r>
        <w:rPr>
          <w:rFonts w:cstheme="minorHAnsi"/>
          <w:b/>
        </w:rPr>
        <w:t xml:space="preserve"> poprvé v historii přesáhla sto tisíc korun. </w:t>
      </w:r>
      <w:r w:rsidR="00F25952">
        <w:rPr>
          <w:rFonts w:cstheme="minorHAnsi"/>
          <w:b/>
        </w:rPr>
        <w:t>N</w:t>
      </w:r>
      <w:r>
        <w:rPr>
          <w:rFonts w:cstheme="minorHAnsi"/>
          <w:b/>
        </w:rPr>
        <w:t xml:space="preserve">árůst cen je způsoben dlouhodobě nedostatečnou </w:t>
      </w:r>
      <w:r w:rsidR="009A6DF7">
        <w:rPr>
          <w:rFonts w:cstheme="minorHAnsi"/>
          <w:b/>
        </w:rPr>
        <w:t>výstavbou</w:t>
      </w:r>
      <w:r>
        <w:rPr>
          <w:rFonts w:cstheme="minorHAnsi"/>
          <w:b/>
        </w:rPr>
        <w:t xml:space="preserve">, kterou limituje zejména </w:t>
      </w:r>
      <w:r w:rsidR="00CC5EB9">
        <w:rPr>
          <w:rFonts w:cstheme="minorHAnsi"/>
          <w:b/>
        </w:rPr>
        <w:t xml:space="preserve">nedostatečně flexibilní </w:t>
      </w:r>
      <w:r>
        <w:rPr>
          <w:rFonts w:cstheme="minorHAnsi"/>
          <w:b/>
        </w:rPr>
        <w:t>územní plánování. Nejlépe se v uplynulých třech měsících prodávaly garsonky</w:t>
      </w:r>
      <w:r w:rsidR="00607AAB">
        <w:rPr>
          <w:rFonts w:cstheme="minorHAnsi"/>
          <w:b/>
        </w:rPr>
        <w:t>,</w:t>
      </w:r>
      <w:r>
        <w:rPr>
          <w:rFonts w:cstheme="minorHAnsi"/>
          <w:b/>
        </w:rPr>
        <w:t xml:space="preserve"> a překonaly tak dlouhodobě největší zájem o</w:t>
      </w:r>
      <w:r w:rsidR="00647F76">
        <w:rPr>
          <w:rFonts w:cstheme="minorHAnsi"/>
          <w:b/>
        </w:rPr>
        <w:t xml:space="preserve"> byt</w:t>
      </w:r>
      <w:r w:rsidR="00607AAB">
        <w:rPr>
          <w:rFonts w:cstheme="minorHAnsi"/>
          <w:b/>
        </w:rPr>
        <w:t>y</w:t>
      </w:r>
      <w:r>
        <w:rPr>
          <w:rFonts w:cstheme="minorHAnsi"/>
          <w:b/>
        </w:rPr>
        <w:t xml:space="preserve"> dispozic</w:t>
      </w:r>
      <w:r w:rsidR="00647F76">
        <w:rPr>
          <w:rFonts w:cstheme="minorHAnsi"/>
          <w:b/>
        </w:rPr>
        <w:t>e</w:t>
      </w:r>
      <w:r>
        <w:rPr>
          <w:rFonts w:cstheme="minorHAnsi"/>
          <w:b/>
        </w:rPr>
        <w:t xml:space="preserve"> 2+kk, </w:t>
      </w:r>
      <w:r w:rsidR="00647F76">
        <w:rPr>
          <w:rFonts w:cstheme="minorHAnsi"/>
          <w:b/>
        </w:rPr>
        <w:t>kter</w:t>
      </w:r>
      <w:r w:rsidR="00607AAB">
        <w:rPr>
          <w:rFonts w:cstheme="minorHAnsi"/>
          <w:b/>
        </w:rPr>
        <w:t>é</w:t>
      </w:r>
      <w:r w:rsidR="00647F76">
        <w:rPr>
          <w:rFonts w:cstheme="minorHAnsi"/>
          <w:b/>
        </w:rPr>
        <w:t xml:space="preserve"> se </w:t>
      </w:r>
      <w:r w:rsidR="00FA4333">
        <w:rPr>
          <w:rFonts w:cstheme="minorHAnsi"/>
          <w:b/>
        </w:rPr>
        <w:t xml:space="preserve">od ledna do března </w:t>
      </w:r>
      <w:r w:rsidR="00647F76">
        <w:rPr>
          <w:rFonts w:cstheme="minorHAnsi"/>
          <w:b/>
        </w:rPr>
        <w:t>prodával</w:t>
      </w:r>
      <w:r w:rsidR="00607AAB">
        <w:rPr>
          <w:rFonts w:cstheme="minorHAnsi"/>
          <w:b/>
        </w:rPr>
        <w:t>y</w:t>
      </w:r>
      <w:r w:rsidR="00647F76">
        <w:rPr>
          <w:rFonts w:cstheme="minorHAnsi"/>
          <w:b/>
        </w:rPr>
        <w:t xml:space="preserve"> za cenu</w:t>
      </w:r>
      <w:r>
        <w:rPr>
          <w:rFonts w:cstheme="minorHAnsi"/>
          <w:b/>
        </w:rPr>
        <w:t xml:space="preserve"> </w:t>
      </w:r>
      <w:r w:rsidR="00FA4333">
        <w:rPr>
          <w:rFonts w:cstheme="minorHAnsi"/>
          <w:b/>
        </w:rPr>
        <w:t xml:space="preserve">kolem </w:t>
      </w:r>
      <w:r w:rsidR="00647F76">
        <w:rPr>
          <w:rFonts w:cstheme="minorHAnsi"/>
          <w:b/>
        </w:rPr>
        <w:t xml:space="preserve">5,4 </w:t>
      </w:r>
      <w:r>
        <w:rPr>
          <w:rFonts w:cstheme="minorHAnsi"/>
          <w:b/>
        </w:rPr>
        <w:t>milionu korun, vyplývá z</w:t>
      </w:r>
      <w:r w:rsidR="00CC5EB9">
        <w:rPr>
          <w:rFonts w:cstheme="minorHAnsi"/>
          <w:b/>
        </w:rPr>
        <w:t xml:space="preserve"> pravidelné</w:t>
      </w:r>
      <w:r>
        <w:rPr>
          <w:rFonts w:cstheme="minorHAnsi"/>
          <w:b/>
        </w:rPr>
        <w:t xml:space="preserve"> analýzy společnosti Trikaya. </w:t>
      </w:r>
    </w:p>
    <w:p w14:paraId="7AAFDAD9" w14:textId="77777777" w:rsidR="006F23D6" w:rsidRDefault="006F23D6" w:rsidP="009A3EBB">
      <w:pPr>
        <w:jc w:val="both"/>
        <w:rPr>
          <w:rFonts w:cstheme="minorHAnsi"/>
          <w:b/>
        </w:rPr>
      </w:pPr>
    </w:p>
    <w:p w14:paraId="5BDA0EFC" w14:textId="2E979749" w:rsidR="00F25952" w:rsidRDefault="00587CA6" w:rsidP="009A3EB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V brněnské nabídce je aktuálně 483 volných bytů v novostavbách. B</w:t>
      </w:r>
      <w:r w:rsidR="00647F76">
        <w:rPr>
          <w:rFonts w:cstheme="minorHAnsi"/>
          <w:bCs/>
        </w:rPr>
        <w:t xml:space="preserve">ěhem prvního čtvrtletí se </w:t>
      </w:r>
      <w:r>
        <w:rPr>
          <w:rFonts w:cstheme="minorHAnsi"/>
          <w:bCs/>
        </w:rPr>
        <w:t>do ní dostalo celkem</w:t>
      </w:r>
      <w:r w:rsidR="00647F76">
        <w:rPr>
          <w:rFonts w:cstheme="minorHAnsi"/>
          <w:bCs/>
        </w:rPr>
        <w:t xml:space="preserve"> 324 bytů</w:t>
      </w:r>
      <w:r>
        <w:rPr>
          <w:rFonts w:cstheme="minorHAnsi"/>
          <w:bCs/>
        </w:rPr>
        <w:t>, nicméně t</w:t>
      </w:r>
      <w:r w:rsidR="00647F76">
        <w:rPr>
          <w:rFonts w:cstheme="minorHAnsi"/>
          <w:bCs/>
        </w:rPr>
        <w:t xml:space="preserve">ři čtvrtiny </w:t>
      </w:r>
      <w:r w:rsidR="00C94A34">
        <w:rPr>
          <w:rFonts w:cstheme="minorHAnsi"/>
          <w:bCs/>
        </w:rPr>
        <w:t>z nich byly</w:t>
      </w:r>
      <w:r w:rsidR="00647F76">
        <w:rPr>
          <w:rFonts w:cstheme="minorHAnsi"/>
          <w:bCs/>
        </w:rPr>
        <w:t xml:space="preserve"> v jednom </w:t>
      </w:r>
      <w:r w:rsidR="00F25952">
        <w:rPr>
          <w:rFonts w:cstheme="minorHAnsi"/>
          <w:bCs/>
        </w:rPr>
        <w:t xml:space="preserve">jediném </w:t>
      </w:r>
      <w:r w:rsidR="00647F76">
        <w:rPr>
          <w:rFonts w:cstheme="minorHAnsi"/>
          <w:bCs/>
        </w:rPr>
        <w:t>rezidenčním projektu</w:t>
      </w:r>
      <w:r w:rsidR="00C94A34">
        <w:rPr>
          <w:rFonts w:cstheme="minorHAnsi"/>
          <w:bCs/>
        </w:rPr>
        <w:t>. P</w:t>
      </w:r>
      <w:r w:rsidR="00647F76">
        <w:rPr>
          <w:rFonts w:cstheme="minorHAnsi"/>
          <w:bCs/>
        </w:rPr>
        <w:t xml:space="preserve">řestože </w:t>
      </w:r>
      <w:r w:rsidR="00F25952">
        <w:rPr>
          <w:rFonts w:cstheme="minorHAnsi"/>
          <w:bCs/>
        </w:rPr>
        <w:t>byty</w:t>
      </w:r>
      <w:r w:rsidR="00647F76">
        <w:rPr>
          <w:rFonts w:cstheme="minorHAnsi"/>
          <w:bCs/>
        </w:rPr>
        <w:t xml:space="preserve"> neustále </w:t>
      </w:r>
      <w:r w:rsidR="00F25952">
        <w:rPr>
          <w:rFonts w:cstheme="minorHAnsi"/>
          <w:bCs/>
        </w:rPr>
        <w:t>zdražují</w:t>
      </w:r>
      <w:r w:rsidR="00C94A34">
        <w:rPr>
          <w:rFonts w:cstheme="minorHAnsi"/>
          <w:bCs/>
        </w:rPr>
        <w:t xml:space="preserve"> a metr čtvereční </w:t>
      </w:r>
      <w:r>
        <w:rPr>
          <w:rFonts w:cstheme="minorHAnsi"/>
          <w:bCs/>
        </w:rPr>
        <w:t xml:space="preserve">nyní </w:t>
      </w:r>
      <w:r w:rsidR="00F25952">
        <w:rPr>
          <w:rFonts w:cstheme="minorHAnsi"/>
          <w:bCs/>
        </w:rPr>
        <w:t>vyjde</w:t>
      </w:r>
      <w:r w:rsidR="00C94A34">
        <w:rPr>
          <w:rFonts w:cstheme="minorHAnsi"/>
          <w:bCs/>
        </w:rPr>
        <w:t xml:space="preserve"> v průměru </w:t>
      </w:r>
      <w:r w:rsidR="00F25952">
        <w:rPr>
          <w:rFonts w:cstheme="minorHAnsi"/>
          <w:bCs/>
        </w:rPr>
        <w:t>na</w:t>
      </w:r>
      <w:r w:rsidR="00C94A34">
        <w:rPr>
          <w:rFonts w:cstheme="minorHAnsi"/>
          <w:bCs/>
        </w:rPr>
        <w:t xml:space="preserve"> </w:t>
      </w:r>
      <w:r w:rsidR="00F25952">
        <w:rPr>
          <w:rFonts w:cstheme="minorHAnsi"/>
          <w:bCs/>
        </w:rPr>
        <w:t xml:space="preserve">téměř </w:t>
      </w:r>
      <w:r w:rsidR="00C94A34">
        <w:rPr>
          <w:rFonts w:cstheme="minorHAnsi"/>
          <w:bCs/>
        </w:rPr>
        <w:t xml:space="preserve">109 tisíc korun, </w:t>
      </w:r>
      <w:r w:rsidR="00F25952">
        <w:rPr>
          <w:rFonts w:cstheme="minorHAnsi"/>
          <w:bCs/>
        </w:rPr>
        <w:t>kolem</w:t>
      </w:r>
      <w:r w:rsidR="00647F76">
        <w:rPr>
          <w:rFonts w:cstheme="minorHAnsi"/>
          <w:bCs/>
        </w:rPr>
        <w:t xml:space="preserve"> 40 procent </w:t>
      </w:r>
      <w:r>
        <w:rPr>
          <w:rFonts w:cstheme="minorHAnsi"/>
          <w:bCs/>
        </w:rPr>
        <w:t xml:space="preserve">těchto </w:t>
      </w:r>
      <w:r w:rsidR="00CC5EB9">
        <w:rPr>
          <w:rFonts w:cstheme="minorHAnsi"/>
          <w:bCs/>
        </w:rPr>
        <w:t xml:space="preserve">nově nabízených </w:t>
      </w:r>
      <w:r w:rsidR="00C94A34">
        <w:rPr>
          <w:rFonts w:cstheme="minorHAnsi"/>
          <w:bCs/>
        </w:rPr>
        <w:t>bytů</w:t>
      </w:r>
      <w:r w:rsidR="00647F76">
        <w:rPr>
          <w:rFonts w:cstheme="minorHAnsi"/>
          <w:bCs/>
        </w:rPr>
        <w:t xml:space="preserve"> </w:t>
      </w:r>
      <w:r w:rsidR="00F25952">
        <w:rPr>
          <w:rFonts w:cstheme="minorHAnsi"/>
          <w:bCs/>
        </w:rPr>
        <w:t>je již rezervovaných</w:t>
      </w:r>
      <w:r w:rsidR="00647F76">
        <w:rPr>
          <w:rFonts w:cstheme="minorHAnsi"/>
          <w:bCs/>
        </w:rPr>
        <w:t xml:space="preserve">. </w:t>
      </w:r>
      <w:r w:rsidR="00647F76" w:rsidRPr="00647F76">
        <w:rPr>
          <w:rFonts w:cstheme="minorHAnsi"/>
          <w:bCs/>
          <w:i/>
          <w:iCs/>
        </w:rPr>
        <w:t xml:space="preserve">„Kdyby se do prodeje tento </w:t>
      </w:r>
      <w:r w:rsidR="00CC5EB9">
        <w:rPr>
          <w:rFonts w:cstheme="minorHAnsi"/>
          <w:bCs/>
          <w:i/>
          <w:iCs/>
        </w:rPr>
        <w:t xml:space="preserve">významný </w:t>
      </w:r>
      <w:r w:rsidR="00647F76" w:rsidRPr="00647F76">
        <w:rPr>
          <w:rFonts w:cstheme="minorHAnsi"/>
          <w:bCs/>
          <w:i/>
          <w:iCs/>
        </w:rPr>
        <w:t xml:space="preserve">projekt nedostal, v brněnské nabídce </w:t>
      </w:r>
      <w:r w:rsidR="00F25952">
        <w:rPr>
          <w:rFonts w:cstheme="minorHAnsi"/>
          <w:bCs/>
          <w:i/>
          <w:iCs/>
        </w:rPr>
        <w:t xml:space="preserve">by bylo </w:t>
      </w:r>
      <w:r w:rsidR="00647F76" w:rsidRPr="00647F76">
        <w:rPr>
          <w:rFonts w:cstheme="minorHAnsi"/>
          <w:bCs/>
          <w:i/>
          <w:iCs/>
        </w:rPr>
        <w:t xml:space="preserve">jen 244 volných bytů, což </w:t>
      </w:r>
      <w:r w:rsidR="00F25952">
        <w:rPr>
          <w:rFonts w:cstheme="minorHAnsi"/>
          <w:bCs/>
          <w:i/>
          <w:iCs/>
        </w:rPr>
        <w:t>je</w:t>
      </w:r>
      <w:r w:rsidR="00647F76" w:rsidRPr="00647F76">
        <w:rPr>
          <w:rFonts w:cstheme="minorHAnsi"/>
          <w:bCs/>
          <w:i/>
          <w:iCs/>
        </w:rPr>
        <w:t xml:space="preserve"> extrémně nízké číslo. </w:t>
      </w:r>
      <w:r w:rsidR="00CC5EB9">
        <w:rPr>
          <w:rFonts w:cstheme="minorHAnsi"/>
          <w:bCs/>
          <w:i/>
          <w:iCs/>
        </w:rPr>
        <w:t>M</w:t>
      </w:r>
      <w:r w:rsidR="00F25952">
        <w:rPr>
          <w:rFonts w:cstheme="minorHAnsi"/>
          <w:bCs/>
          <w:i/>
          <w:iCs/>
        </w:rPr>
        <w:t xml:space="preserve">ěsto by proto mělo co nejdříve představit plán, jak se mají rezidenční projekty rozvíjet, jinak se tento raketový růst cen nezastaví,“ </w:t>
      </w:r>
      <w:r w:rsidR="00F25952" w:rsidRPr="00F25952">
        <w:rPr>
          <w:rFonts w:cstheme="minorHAnsi"/>
          <w:bCs/>
        </w:rPr>
        <w:t>varuje Alexej Veselý, výkonný ředitel společnosti Trikaya.</w:t>
      </w:r>
      <w:r w:rsidR="00F25952">
        <w:rPr>
          <w:rFonts w:cstheme="minorHAnsi"/>
          <w:bCs/>
        </w:rPr>
        <w:t xml:space="preserve"> </w:t>
      </w:r>
      <w:r>
        <w:rPr>
          <w:rFonts w:cstheme="minorHAnsi"/>
          <w:bCs/>
        </w:rPr>
        <w:t>Ceny žene vzhůru především z</w:t>
      </w:r>
      <w:r w:rsidR="00F25952">
        <w:rPr>
          <w:rFonts w:cstheme="minorHAnsi"/>
          <w:bCs/>
        </w:rPr>
        <w:t>kostnatělé územní plánování spolu s pomalými a náročnými povolovacími procesy nových staveb</w:t>
      </w:r>
      <w:r>
        <w:rPr>
          <w:rFonts w:cstheme="minorHAnsi"/>
          <w:bCs/>
        </w:rPr>
        <w:t>, ale také zdražování pozemků a stavebních prací včetně materiálů.</w:t>
      </w:r>
    </w:p>
    <w:p w14:paraId="33234244" w14:textId="77777777" w:rsidR="00587CA6" w:rsidRDefault="00587CA6" w:rsidP="009A3EBB">
      <w:pPr>
        <w:jc w:val="both"/>
        <w:rPr>
          <w:rFonts w:cstheme="minorHAnsi"/>
          <w:bCs/>
        </w:rPr>
      </w:pPr>
    </w:p>
    <w:p w14:paraId="0E37B90B" w14:textId="232EADBF" w:rsidR="00F25952" w:rsidRDefault="00F25952" w:rsidP="009A3EBB">
      <w:pPr>
        <w:jc w:val="both"/>
        <w:rPr>
          <w:rFonts w:cstheme="minorHAnsi"/>
          <w:bCs/>
          <w:i/>
          <w:iCs/>
        </w:rPr>
      </w:pPr>
      <w:r>
        <w:rPr>
          <w:noProof/>
          <w:lang w:eastAsia="cs-CZ"/>
        </w:rPr>
        <w:drawing>
          <wp:inline distT="0" distB="0" distL="0" distR="0" wp14:anchorId="50CC50A7" wp14:editId="0E6B7556">
            <wp:extent cx="5756910" cy="2473960"/>
            <wp:effectExtent l="0" t="0" r="15240" b="254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F0493D31-3D99-445C-B529-72FCD8063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719171" w14:textId="77777777" w:rsidR="00D6391A" w:rsidRDefault="00D6391A" w:rsidP="00FE4DB5">
      <w:pPr>
        <w:spacing w:after="120"/>
        <w:jc w:val="both"/>
        <w:rPr>
          <w:b/>
          <w:bCs/>
          <w:sz w:val="24"/>
          <w:szCs w:val="24"/>
        </w:rPr>
      </w:pPr>
    </w:p>
    <w:p w14:paraId="5ECC6738" w14:textId="59D66F1D" w:rsidR="00FE4DB5" w:rsidRPr="00FE4DB5" w:rsidRDefault="00811989" w:rsidP="00FE4DB5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vzoru západních zemí bude většina bydlet v nájmu</w:t>
      </w:r>
    </w:p>
    <w:p w14:paraId="6795A9A7" w14:textId="08938B10" w:rsidR="00C20F7D" w:rsidRDefault="00137870" w:rsidP="00FA433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Přesně před rokem stál nový byt v nabídce o milion korun méně než nyní, m</w:t>
      </w:r>
      <w:r w:rsidR="00C20F7D">
        <w:rPr>
          <w:rFonts w:cstheme="minorHAnsi"/>
          <w:bCs/>
        </w:rPr>
        <w:t>eziročn</w:t>
      </w:r>
      <w:r>
        <w:rPr>
          <w:rFonts w:cstheme="minorHAnsi"/>
          <w:bCs/>
        </w:rPr>
        <w:t xml:space="preserve">ě </w:t>
      </w:r>
      <w:r w:rsidR="00C26C5D">
        <w:rPr>
          <w:rFonts w:cstheme="minorHAnsi"/>
          <w:bCs/>
        </w:rPr>
        <w:t xml:space="preserve">to představuje </w:t>
      </w:r>
      <w:r w:rsidR="00C26C5D" w:rsidRPr="00FA4333">
        <w:rPr>
          <w:rFonts w:cstheme="minorHAnsi"/>
          <w:b/>
        </w:rPr>
        <w:t>zdražení</w:t>
      </w:r>
      <w:r w:rsidR="00C20F7D" w:rsidRPr="00FA4333">
        <w:rPr>
          <w:rFonts w:cstheme="minorHAnsi"/>
          <w:b/>
        </w:rPr>
        <w:t xml:space="preserve"> </w:t>
      </w:r>
      <w:r w:rsidR="00FE4DB5" w:rsidRPr="00FA4333">
        <w:rPr>
          <w:rFonts w:cstheme="minorHAnsi"/>
          <w:b/>
        </w:rPr>
        <w:t xml:space="preserve">v průměru </w:t>
      </w:r>
      <w:r w:rsidR="00C20F7D" w:rsidRPr="00FA4333">
        <w:rPr>
          <w:rFonts w:cstheme="minorHAnsi"/>
          <w:b/>
        </w:rPr>
        <w:t>o 27 procent</w:t>
      </w:r>
      <w:r>
        <w:rPr>
          <w:rFonts w:cstheme="minorHAnsi"/>
          <w:bCs/>
        </w:rPr>
        <w:t>.</w:t>
      </w:r>
      <w:r w:rsidR="0004270A">
        <w:rPr>
          <w:rFonts w:cstheme="minorHAnsi"/>
          <w:bCs/>
        </w:rPr>
        <w:t xml:space="preserve"> Nejvíce zdražily momentálně nejžádanější garsonky, a to o celých 34 procent. Našetřit si na n</w:t>
      </w:r>
      <w:r w:rsidR="00520B7B">
        <w:rPr>
          <w:rFonts w:cstheme="minorHAnsi"/>
          <w:bCs/>
        </w:rPr>
        <w:t>ě</w:t>
      </w:r>
      <w:r w:rsidR="0004270A">
        <w:rPr>
          <w:rFonts w:cstheme="minorHAnsi"/>
          <w:bCs/>
        </w:rPr>
        <w:t xml:space="preserve"> zájemci musí necelé čtyři miliony korun.</w:t>
      </w:r>
      <w:r>
        <w:rPr>
          <w:rFonts w:cstheme="minorHAnsi"/>
          <w:bCs/>
        </w:rPr>
        <w:t xml:space="preserve"> </w:t>
      </w:r>
      <w:r w:rsidRPr="00C26C5D">
        <w:rPr>
          <w:rFonts w:cstheme="minorHAnsi"/>
          <w:bCs/>
          <w:i/>
          <w:iCs/>
        </w:rPr>
        <w:t xml:space="preserve">„Alarmující není jen meziroční zdražení, ale také </w:t>
      </w:r>
      <w:r w:rsidR="00CC5EB9">
        <w:rPr>
          <w:rFonts w:cstheme="minorHAnsi"/>
          <w:bCs/>
          <w:i/>
          <w:iCs/>
        </w:rPr>
        <w:t>enormní růst cen v posledním</w:t>
      </w:r>
      <w:r w:rsidR="00CC5EB9" w:rsidRPr="00C26C5D">
        <w:rPr>
          <w:rFonts w:cstheme="minorHAnsi"/>
          <w:bCs/>
          <w:i/>
          <w:iCs/>
        </w:rPr>
        <w:t xml:space="preserve"> </w:t>
      </w:r>
      <w:r w:rsidRPr="00C26C5D">
        <w:rPr>
          <w:rFonts w:cstheme="minorHAnsi"/>
          <w:bCs/>
          <w:i/>
          <w:iCs/>
        </w:rPr>
        <w:t>čtvrtletí, kter</w:t>
      </w:r>
      <w:r w:rsidR="00CC5EB9">
        <w:rPr>
          <w:rFonts w:cstheme="minorHAnsi"/>
          <w:bCs/>
          <w:i/>
          <w:iCs/>
        </w:rPr>
        <w:t>ý</w:t>
      </w:r>
      <w:r w:rsidRPr="00C26C5D">
        <w:rPr>
          <w:rFonts w:cstheme="minorHAnsi"/>
          <w:bCs/>
          <w:i/>
          <w:iCs/>
        </w:rPr>
        <w:t xml:space="preserve"> je nyní kolem 12 procent. Na vlastní byt </w:t>
      </w:r>
      <w:r w:rsidRPr="00C26C5D">
        <w:rPr>
          <w:rFonts w:cstheme="minorHAnsi"/>
          <w:bCs/>
          <w:i/>
          <w:iCs/>
        </w:rPr>
        <w:lastRenderedPageBreak/>
        <w:t>tak každé další tři měsíce nedosáhne větší procento lidí střední třídy a ve velkém se začne přecházet do nájemního bydlení, což pouze podporuje skupování bytů velkými hráči a nemovitostními fondy. Běžní občané se</w:t>
      </w:r>
      <w:r w:rsidR="00FA4333">
        <w:rPr>
          <w:rFonts w:cstheme="minorHAnsi"/>
          <w:bCs/>
          <w:i/>
          <w:iCs/>
        </w:rPr>
        <w:t xml:space="preserve"> zájmem o vlastní nemovitost se</w:t>
      </w:r>
      <w:r w:rsidRPr="00C26C5D">
        <w:rPr>
          <w:rFonts w:cstheme="minorHAnsi"/>
          <w:bCs/>
          <w:i/>
          <w:iCs/>
        </w:rPr>
        <w:t xml:space="preserve"> budou i nadále stahovat za hranice Brna a porostou náklady na infrastrukturu i provoz města,“</w:t>
      </w:r>
      <w:r>
        <w:rPr>
          <w:rFonts w:cstheme="minorHAnsi"/>
          <w:bCs/>
        </w:rPr>
        <w:t xml:space="preserve"> upozorňuje Alexej Veselý</w:t>
      </w:r>
      <w:r w:rsidR="0004270A">
        <w:rPr>
          <w:rFonts w:cstheme="minorHAnsi"/>
          <w:bCs/>
        </w:rPr>
        <w:t xml:space="preserve">. </w:t>
      </w:r>
      <w:r w:rsidR="00C20F7D">
        <w:rPr>
          <w:rFonts w:cstheme="minorHAnsi"/>
          <w:bCs/>
        </w:rPr>
        <w:t xml:space="preserve">Nabízeným bytům </w:t>
      </w:r>
      <w:r w:rsidR="00C26C5D">
        <w:rPr>
          <w:rFonts w:cstheme="minorHAnsi"/>
          <w:bCs/>
        </w:rPr>
        <w:t xml:space="preserve">aktuálně </w:t>
      </w:r>
      <w:r w:rsidR="00C20F7D">
        <w:rPr>
          <w:rFonts w:cstheme="minorHAnsi"/>
          <w:bCs/>
        </w:rPr>
        <w:t xml:space="preserve">dominují garsoniéry, </w:t>
      </w:r>
      <w:r w:rsidR="00202DEF">
        <w:rPr>
          <w:rFonts w:cstheme="minorHAnsi"/>
          <w:bCs/>
        </w:rPr>
        <w:t>jichž</w:t>
      </w:r>
      <w:r w:rsidR="00C20F7D">
        <w:rPr>
          <w:rFonts w:cstheme="minorHAnsi"/>
          <w:bCs/>
        </w:rPr>
        <w:t xml:space="preserve"> je přesně polovina</w:t>
      </w:r>
      <w:r w:rsidR="00607AAB">
        <w:rPr>
          <w:rFonts w:cstheme="minorHAnsi"/>
          <w:bCs/>
        </w:rPr>
        <w:t>,</w:t>
      </w:r>
      <w:r w:rsidR="00C20F7D">
        <w:rPr>
          <w:rFonts w:cstheme="minorHAnsi"/>
          <w:bCs/>
        </w:rPr>
        <w:t xml:space="preserve"> a byty v </w:t>
      </w:r>
      <w:r w:rsidR="00C26C5D">
        <w:rPr>
          <w:rFonts w:cstheme="minorHAnsi"/>
          <w:bCs/>
        </w:rPr>
        <w:t>lokalitě</w:t>
      </w:r>
      <w:r w:rsidR="00C20F7D">
        <w:rPr>
          <w:rFonts w:cstheme="minorHAnsi"/>
          <w:bCs/>
        </w:rPr>
        <w:t xml:space="preserve"> Brno-střed, kde </w:t>
      </w:r>
      <w:r w:rsidR="00C26C5D">
        <w:rPr>
          <w:rFonts w:cstheme="minorHAnsi"/>
          <w:bCs/>
        </w:rPr>
        <w:t>se jich nabízí kolem</w:t>
      </w:r>
      <w:r w:rsidR="00C20F7D">
        <w:rPr>
          <w:rFonts w:cstheme="minorHAnsi"/>
          <w:bCs/>
        </w:rPr>
        <w:t xml:space="preserve"> 60 procent. </w:t>
      </w:r>
    </w:p>
    <w:p w14:paraId="79CF9B31" w14:textId="77777777" w:rsidR="00FA4333" w:rsidRDefault="00FA4333" w:rsidP="00FA4333">
      <w:pPr>
        <w:jc w:val="both"/>
        <w:rPr>
          <w:rFonts w:cstheme="minorHAnsi"/>
          <w:bCs/>
        </w:rPr>
      </w:pPr>
    </w:p>
    <w:p w14:paraId="015DB2E9" w14:textId="00C2AC55" w:rsidR="00C20F7D" w:rsidRPr="00FE4DB5" w:rsidRDefault="00FE4DB5" w:rsidP="00FE4DB5">
      <w:pPr>
        <w:jc w:val="center"/>
        <w:rPr>
          <w:color w:val="808080" w:themeColor="background1" w:themeShade="80"/>
          <w:sz w:val="26"/>
          <w:szCs w:val="28"/>
        </w:rPr>
      </w:pPr>
      <w:r w:rsidRPr="00FE4DB5">
        <w:rPr>
          <w:color w:val="808080" w:themeColor="background1" w:themeShade="80"/>
          <w:sz w:val="26"/>
          <w:szCs w:val="28"/>
        </w:rPr>
        <w:t>Průměrné ceny bytů v nabídce dle dispozic (k dubnu 2021)</w:t>
      </w:r>
    </w:p>
    <w:tbl>
      <w:tblPr>
        <w:tblpPr w:leftFromText="141" w:rightFromText="141" w:vertAnchor="page" w:horzAnchor="margin" w:tblpXSpec="center" w:tblpY="5235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D6391A" w:rsidRPr="001B2AF9" w14:paraId="5CBC69CA" w14:textId="77777777" w:rsidTr="00D6391A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E95BC1E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15ED5BD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E3AA3D4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AABD2A1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br/>
            </w:r>
            <w:r w:rsidRPr="00650AC7">
              <w:rPr>
                <w:b/>
                <w:color w:val="FFFFFF" w:themeColor="background1"/>
              </w:rPr>
              <w:t>s DPH</w:t>
            </w:r>
            <w:r w:rsidRPr="00650AC7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D6391A" w:rsidRPr="001B2AF9" w14:paraId="26A79411" w14:textId="77777777" w:rsidTr="00D6391A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3335B86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44B0829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3 935 000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6D84D69F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5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C2A87C7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  <w:r w:rsidRPr="00650A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>00 Kč</w:t>
            </w:r>
          </w:p>
        </w:tc>
      </w:tr>
      <w:tr w:rsidR="00D6391A" w:rsidRPr="001B2AF9" w14:paraId="11472745" w14:textId="77777777" w:rsidTr="00D6391A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5E8218D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55BDBBD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5 765 000 </w:t>
            </w:r>
            <w:r w:rsidRPr="00650AC7">
              <w:rPr>
                <w:color w:val="000000" w:themeColor="text1"/>
              </w:rPr>
              <w:t>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2009C05F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125C6C4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103 800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D6391A" w:rsidRPr="001B2AF9" w14:paraId="4A93F70F" w14:textId="77777777" w:rsidTr="00D6391A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1BA4247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18D9130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7 980 000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F07876B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EE321C9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97 600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D6391A" w:rsidRPr="001B2AF9" w14:paraId="0ED0502F" w14:textId="77777777" w:rsidTr="00D6391A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979C887" w14:textId="77777777" w:rsidR="00D6391A" w:rsidRPr="00650AC7" w:rsidRDefault="00D6391A" w:rsidP="00D6391A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00EA0DC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11 430 000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C3DEC25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E990136" w14:textId="77777777" w:rsidR="00D6391A" w:rsidRPr="00650AC7" w:rsidRDefault="00D6391A" w:rsidP="00D6391A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Pr="00650A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</w:t>
            </w:r>
            <w:r w:rsidRPr="00650AC7">
              <w:rPr>
                <w:color w:val="000000" w:themeColor="text1"/>
              </w:rPr>
              <w:t>00 Kč</w:t>
            </w:r>
          </w:p>
        </w:tc>
      </w:tr>
    </w:tbl>
    <w:p w14:paraId="739254C8" w14:textId="4FCB6987" w:rsidR="00C26C5D" w:rsidRDefault="00C26C5D" w:rsidP="009A3EBB">
      <w:pPr>
        <w:jc w:val="both"/>
        <w:rPr>
          <w:rFonts w:cstheme="minorHAnsi"/>
          <w:bCs/>
        </w:rPr>
      </w:pPr>
    </w:p>
    <w:p w14:paraId="499C456C" w14:textId="0B2010DC" w:rsidR="00C26C5D" w:rsidRDefault="00C26C5D" w:rsidP="009A3EBB">
      <w:pPr>
        <w:jc w:val="both"/>
        <w:rPr>
          <w:rFonts w:cstheme="minorHAnsi"/>
          <w:bCs/>
        </w:rPr>
      </w:pPr>
    </w:p>
    <w:p w14:paraId="68338C7B" w14:textId="1CA12C3E" w:rsidR="00C26C5D" w:rsidRDefault="00C26C5D" w:rsidP="009A3EBB">
      <w:pPr>
        <w:jc w:val="both"/>
        <w:rPr>
          <w:rFonts w:cstheme="minorHAnsi"/>
          <w:bCs/>
        </w:rPr>
      </w:pPr>
    </w:p>
    <w:p w14:paraId="6E2B0D07" w14:textId="049FC2D4" w:rsidR="00C26C5D" w:rsidRDefault="00C26C5D" w:rsidP="009A3EBB">
      <w:pPr>
        <w:jc w:val="both"/>
        <w:rPr>
          <w:rFonts w:cstheme="minorHAnsi"/>
          <w:bCs/>
        </w:rPr>
      </w:pPr>
    </w:p>
    <w:p w14:paraId="0001E71B" w14:textId="640BB11A" w:rsidR="00C26C5D" w:rsidRDefault="00C26C5D" w:rsidP="009A3EBB">
      <w:pPr>
        <w:jc w:val="both"/>
        <w:rPr>
          <w:rFonts w:cstheme="minorHAnsi"/>
          <w:bCs/>
        </w:rPr>
      </w:pPr>
    </w:p>
    <w:p w14:paraId="2F96186D" w14:textId="2C33D71B" w:rsidR="00C26C5D" w:rsidRDefault="00C26C5D" w:rsidP="009A3EBB">
      <w:pPr>
        <w:jc w:val="both"/>
        <w:rPr>
          <w:rFonts w:cstheme="minorHAnsi"/>
          <w:bCs/>
        </w:rPr>
      </w:pPr>
    </w:p>
    <w:p w14:paraId="5BCFE18D" w14:textId="510CC7A5" w:rsidR="00C26C5D" w:rsidRDefault="00C26C5D" w:rsidP="009A3EBB">
      <w:pPr>
        <w:jc w:val="both"/>
        <w:rPr>
          <w:rFonts w:cstheme="minorHAnsi"/>
          <w:bCs/>
        </w:rPr>
      </w:pPr>
    </w:p>
    <w:p w14:paraId="7253F495" w14:textId="19DAEAB2" w:rsidR="00C26C5D" w:rsidRDefault="00C26C5D" w:rsidP="009A3EBB">
      <w:pPr>
        <w:jc w:val="both"/>
        <w:rPr>
          <w:rFonts w:cstheme="minorHAnsi"/>
          <w:bCs/>
        </w:rPr>
      </w:pPr>
    </w:p>
    <w:p w14:paraId="7E6A7E29" w14:textId="5676E062" w:rsidR="00C26C5D" w:rsidRDefault="00C26C5D" w:rsidP="009A3EBB">
      <w:pPr>
        <w:jc w:val="both"/>
        <w:rPr>
          <w:rFonts w:cstheme="minorHAnsi"/>
          <w:bCs/>
        </w:rPr>
      </w:pPr>
    </w:p>
    <w:p w14:paraId="178B660B" w14:textId="77777777" w:rsidR="00D6391A" w:rsidRDefault="00D6391A" w:rsidP="00811989">
      <w:pPr>
        <w:spacing w:after="120"/>
        <w:jc w:val="both"/>
        <w:rPr>
          <w:b/>
          <w:bCs/>
          <w:sz w:val="24"/>
          <w:szCs w:val="24"/>
        </w:rPr>
      </w:pPr>
    </w:p>
    <w:p w14:paraId="5D56BDA5" w14:textId="77777777" w:rsidR="00D6391A" w:rsidRDefault="00D6391A" w:rsidP="00811989">
      <w:pPr>
        <w:spacing w:after="120"/>
        <w:jc w:val="both"/>
        <w:rPr>
          <w:b/>
          <w:bCs/>
          <w:sz w:val="24"/>
          <w:szCs w:val="24"/>
        </w:rPr>
      </w:pPr>
    </w:p>
    <w:p w14:paraId="0B22349F" w14:textId="29E550BA" w:rsidR="00811989" w:rsidRPr="00FE4DB5" w:rsidRDefault="00811989" w:rsidP="00811989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Brně </w:t>
      </w:r>
      <w:r w:rsidR="009E7560">
        <w:rPr>
          <w:b/>
          <w:bCs/>
          <w:sz w:val="24"/>
          <w:szCs w:val="24"/>
        </w:rPr>
        <w:t>začínají být</w:t>
      </w:r>
      <w:r>
        <w:rPr>
          <w:b/>
          <w:bCs/>
          <w:sz w:val="24"/>
          <w:szCs w:val="24"/>
        </w:rPr>
        <w:t xml:space="preserve"> byty jen pro </w:t>
      </w:r>
      <w:r w:rsidR="00941B03">
        <w:rPr>
          <w:b/>
          <w:bCs/>
          <w:sz w:val="24"/>
          <w:szCs w:val="24"/>
        </w:rPr>
        <w:t xml:space="preserve">investory </w:t>
      </w:r>
    </w:p>
    <w:p w14:paraId="298AE240" w14:textId="34D9644E" w:rsidR="00C26C5D" w:rsidRDefault="00811989" w:rsidP="009A3EB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Během prvního kvartálu se prodalo celkem 249 nových bytů. Ačkoliv je to o třicet méně než </w:t>
      </w:r>
      <w:r w:rsidR="00941B03">
        <w:rPr>
          <w:rFonts w:cstheme="minorHAnsi"/>
          <w:bCs/>
        </w:rPr>
        <w:t xml:space="preserve">za stejné období </w:t>
      </w:r>
      <w:r>
        <w:rPr>
          <w:rFonts w:cstheme="minorHAnsi"/>
          <w:bCs/>
        </w:rPr>
        <w:t xml:space="preserve">v loňském roce, byla </w:t>
      </w:r>
      <w:r w:rsidR="009E7560">
        <w:rPr>
          <w:rFonts w:cstheme="minorHAnsi"/>
          <w:bCs/>
        </w:rPr>
        <w:t xml:space="preserve">jejich </w:t>
      </w:r>
      <w:r>
        <w:rPr>
          <w:rFonts w:cstheme="minorHAnsi"/>
          <w:bCs/>
        </w:rPr>
        <w:t xml:space="preserve">celková hodnota o devět procent vyšší, </w:t>
      </w:r>
      <w:r w:rsidR="00CC5EB9">
        <w:rPr>
          <w:rFonts w:cstheme="minorHAnsi"/>
          <w:bCs/>
        </w:rPr>
        <w:t xml:space="preserve">a to </w:t>
      </w:r>
      <w:r>
        <w:rPr>
          <w:rFonts w:cstheme="minorHAnsi"/>
          <w:bCs/>
        </w:rPr>
        <w:t>1,37 miliard</w:t>
      </w:r>
      <w:r w:rsidR="00623E32">
        <w:rPr>
          <w:rFonts w:cstheme="minorHAnsi"/>
          <w:bCs/>
        </w:rPr>
        <w:t>y</w:t>
      </w:r>
      <w:r>
        <w:rPr>
          <w:rFonts w:cstheme="minorHAnsi"/>
          <w:bCs/>
        </w:rPr>
        <w:t xml:space="preserve"> korun. Průměrný byt o velikosti 60 metrů čtverečních kupovali </w:t>
      </w:r>
      <w:r w:rsidR="009E7560">
        <w:rPr>
          <w:rFonts w:cstheme="minorHAnsi"/>
          <w:bCs/>
        </w:rPr>
        <w:t xml:space="preserve">zájemci </w:t>
      </w:r>
      <w:r>
        <w:rPr>
          <w:rFonts w:cstheme="minorHAnsi"/>
          <w:bCs/>
        </w:rPr>
        <w:t>za 5,5 milionu</w:t>
      </w:r>
      <w:r w:rsidR="009E7560">
        <w:rPr>
          <w:rFonts w:cstheme="minorHAnsi"/>
          <w:bCs/>
        </w:rPr>
        <w:t xml:space="preserve">, na což například mladé rodiny často nemohou dosáhnout. </w:t>
      </w:r>
      <w:r w:rsidR="009E7560" w:rsidRPr="009E7560">
        <w:rPr>
          <w:rFonts w:cstheme="minorHAnsi"/>
          <w:bCs/>
          <w:i/>
          <w:iCs/>
        </w:rPr>
        <w:t>„</w:t>
      </w:r>
      <w:r w:rsidR="009E7560">
        <w:rPr>
          <w:rFonts w:cstheme="minorHAnsi"/>
          <w:bCs/>
          <w:i/>
          <w:iCs/>
        </w:rPr>
        <w:t xml:space="preserve">Do hry o brněnské nemovitosti se </w:t>
      </w:r>
      <w:r w:rsidR="009E7560" w:rsidRPr="009E7560">
        <w:rPr>
          <w:rFonts w:cstheme="minorHAnsi"/>
          <w:bCs/>
          <w:i/>
          <w:iCs/>
        </w:rPr>
        <w:t xml:space="preserve">pustili </w:t>
      </w:r>
      <w:r w:rsidR="009E7560">
        <w:rPr>
          <w:rFonts w:cstheme="minorHAnsi"/>
          <w:bCs/>
          <w:i/>
          <w:iCs/>
        </w:rPr>
        <w:t xml:space="preserve">kromě investorů, které láká vidina zisku, i </w:t>
      </w:r>
      <w:r w:rsidR="009E7560" w:rsidRPr="009E7560">
        <w:rPr>
          <w:rFonts w:cstheme="minorHAnsi"/>
          <w:bCs/>
          <w:i/>
          <w:iCs/>
        </w:rPr>
        <w:t>spekulanti</w:t>
      </w:r>
      <w:r w:rsidR="009E7560">
        <w:rPr>
          <w:rFonts w:cstheme="minorHAnsi"/>
          <w:bCs/>
          <w:i/>
          <w:iCs/>
        </w:rPr>
        <w:t xml:space="preserve">, kteří </w:t>
      </w:r>
      <w:r w:rsidR="009E7560" w:rsidRPr="009E7560">
        <w:rPr>
          <w:rFonts w:cstheme="minorHAnsi"/>
          <w:bCs/>
          <w:i/>
          <w:iCs/>
        </w:rPr>
        <w:t xml:space="preserve">tu dříve </w:t>
      </w:r>
      <w:r w:rsidR="009E7560" w:rsidRPr="00156304">
        <w:rPr>
          <w:rFonts w:cstheme="minorHAnsi"/>
          <w:bCs/>
          <w:i/>
          <w:iCs/>
        </w:rPr>
        <w:t xml:space="preserve">nebývali běžní. </w:t>
      </w:r>
      <w:r w:rsidR="00156304" w:rsidRPr="00156304">
        <w:rPr>
          <w:rFonts w:cstheme="minorHAnsi"/>
          <w:bCs/>
          <w:i/>
          <w:iCs/>
        </w:rPr>
        <w:t>Ti</w:t>
      </w:r>
      <w:r w:rsidR="009E7560" w:rsidRPr="00156304">
        <w:rPr>
          <w:rFonts w:cstheme="minorHAnsi"/>
          <w:bCs/>
          <w:i/>
          <w:iCs/>
        </w:rPr>
        <w:t xml:space="preserve"> mají řadu bytů, v nichž nikdo nebydlí</w:t>
      </w:r>
      <w:r w:rsidR="00140B8F">
        <w:rPr>
          <w:rFonts w:cstheme="minorHAnsi"/>
          <w:bCs/>
          <w:i/>
          <w:iCs/>
        </w:rPr>
        <w:t>,</w:t>
      </w:r>
      <w:r w:rsidR="009E7560" w:rsidRPr="00156304">
        <w:rPr>
          <w:rFonts w:cstheme="minorHAnsi"/>
          <w:bCs/>
          <w:i/>
          <w:iCs/>
        </w:rPr>
        <w:t xml:space="preserve"> a slouží</w:t>
      </w:r>
      <w:r w:rsidR="00140B8F">
        <w:rPr>
          <w:rFonts w:cstheme="minorHAnsi"/>
          <w:bCs/>
          <w:i/>
          <w:iCs/>
        </w:rPr>
        <w:t xml:space="preserve"> tak</w:t>
      </w:r>
      <w:r w:rsidR="009E7560" w:rsidRPr="00156304">
        <w:rPr>
          <w:rFonts w:cstheme="minorHAnsi"/>
          <w:bCs/>
          <w:i/>
          <w:iCs/>
        </w:rPr>
        <w:t xml:space="preserve"> pouze k uchování hodnoty.</w:t>
      </w:r>
      <w:r w:rsidR="009E7560" w:rsidRPr="009E7560">
        <w:rPr>
          <w:rFonts w:cstheme="minorHAnsi"/>
          <w:bCs/>
          <w:i/>
          <w:iCs/>
        </w:rPr>
        <w:t xml:space="preserve"> Tento trend podpořil jednak sám dramatický růst cen, ale také zrušení daně z nabytí nemovitosti,</w:t>
      </w:r>
      <w:r w:rsidR="00941B03">
        <w:rPr>
          <w:rFonts w:cstheme="minorHAnsi"/>
          <w:bCs/>
          <w:i/>
          <w:iCs/>
        </w:rPr>
        <w:t xml:space="preserve"> která </w:t>
      </w:r>
      <w:r w:rsidR="00FA4333">
        <w:rPr>
          <w:rFonts w:cstheme="minorHAnsi"/>
          <w:bCs/>
          <w:i/>
          <w:iCs/>
        </w:rPr>
        <w:t xml:space="preserve">právě </w:t>
      </w:r>
      <w:r w:rsidR="00941B03">
        <w:rPr>
          <w:rFonts w:cstheme="minorHAnsi"/>
          <w:bCs/>
          <w:i/>
          <w:iCs/>
        </w:rPr>
        <w:t xml:space="preserve">od krátkodobých </w:t>
      </w:r>
      <w:r w:rsidR="00CC5EB9">
        <w:rPr>
          <w:rFonts w:cstheme="minorHAnsi"/>
          <w:bCs/>
          <w:i/>
          <w:iCs/>
        </w:rPr>
        <w:t xml:space="preserve">spekulativních </w:t>
      </w:r>
      <w:r w:rsidR="00941B03">
        <w:rPr>
          <w:rFonts w:cstheme="minorHAnsi"/>
          <w:bCs/>
          <w:i/>
          <w:iCs/>
        </w:rPr>
        <w:t xml:space="preserve">nákupů </w:t>
      </w:r>
      <w:r w:rsidR="00CC5EB9">
        <w:rPr>
          <w:rFonts w:cstheme="minorHAnsi"/>
          <w:bCs/>
          <w:i/>
          <w:iCs/>
        </w:rPr>
        <w:t xml:space="preserve">částečně </w:t>
      </w:r>
      <w:r w:rsidR="00941B03">
        <w:rPr>
          <w:rFonts w:cstheme="minorHAnsi"/>
          <w:bCs/>
          <w:i/>
          <w:iCs/>
        </w:rPr>
        <w:t>zrazovala</w:t>
      </w:r>
      <w:r w:rsidR="00623E32">
        <w:rPr>
          <w:rFonts w:cstheme="minorHAnsi"/>
          <w:bCs/>
          <w:i/>
          <w:iCs/>
        </w:rPr>
        <w:t>,</w:t>
      </w:r>
      <w:r w:rsidR="009E7560" w:rsidRPr="009E7560">
        <w:rPr>
          <w:rFonts w:cstheme="minorHAnsi"/>
          <w:bCs/>
          <w:i/>
          <w:iCs/>
        </w:rPr>
        <w:t xml:space="preserve">“ </w:t>
      </w:r>
      <w:r w:rsidR="009E7560">
        <w:rPr>
          <w:rFonts w:cstheme="minorHAnsi"/>
          <w:bCs/>
        </w:rPr>
        <w:t xml:space="preserve">doplňuje František </w:t>
      </w:r>
      <w:proofErr w:type="spellStart"/>
      <w:r w:rsidR="009E7560">
        <w:rPr>
          <w:rFonts w:cstheme="minorHAnsi"/>
          <w:bCs/>
        </w:rPr>
        <w:t>Šudřich</w:t>
      </w:r>
      <w:proofErr w:type="spellEnd"/>
      <w:r w:rsidR="009E7560">
        <w:rPr>
          <w:rFonts w:cstheme="minorHAnsi"/>
          <w:bCs/>
        </w:rPr>
        <w:t xml:space="preserve">, obchodní ředitel společnosti Trikaya. </w:t>
      </w:r>
    </w:p>
    <w:p w14:paraId="56079B2A" w14:textId="7CD88CBF" w:rsidR="00FA4333" w:rsidRDefault="00FA4333" w:rsidP="009A3EBB">
      <w:pPr>
        <w:jc w:val="both"/>
        <w:rPr>
          <w:rFonts w:cstheme="minorHAnsi"/>
          <w:bCs/>
        </w:rPr>
      </w:pPr>
    </w:p>
    <w:p w14:paraId="1A9C6A35" w14:textId="0BEF1E7D" w:rsidR="00FA4333" w:rsidRDefault="00FA4333" w:rsidP="009A3EB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Naděje na pokles cen nových bytů uprostřed Brna je mizivá. Poptávka po nich je stále stabilní. Vlastní levnější bydlení tak budou Brňané vyhledávat zejména v okrese Brno-venkov, kde se průměrná cena za metr čtvereční drží na 63 tisících korun. Bytová nabídka je tam </w:t>
      </w:r>
      <w:r w:rsidR="00597C02">
        <w:rPr>
          <w:rFonts w:cstheme="minorHAnsi"/>
          <w:bCs/>
        </w:rPr>
        <w:t xml:space="preserve">však </w:t>
      </w:r>
      <w:r>
        <w:rPr>
          <w:rFonts w:cstheme="minorHAnsi"/>
          <w:bCs/>
        </w:rPr>
        <w:t xml:space="preserve">značně omezená, podobně </w:t>
      </w:r>
      <w:r w:rsidR="003722E7">
        <w:rPr>
          <w:rFonts w:cstheme="minorHAnsi"/>
          <w:bCs/>
        </w:rPr>
        <w:t xml:space="preserve">jako nabídka rodinných domů, jejichž cena se pohybuje od 6,7 </w:t>
      </w:r>
      <w:r w:rsidR="00976AEF">
        <w:rPr>
          <w:rFonts w:cstheme="minorHAnsi"/>
          <w:bCs/>
        </w:rPr>
        <w:t>d</w:t>
      </w:r>
      <w:r w:rsidR="003722E7">
        <w:rPr>
          <w:rFonts w:cstheme="minorHAnsi"/>
          <w:bCs/>
        </w:rPr>
        <w:t xml:space="preserve">o 21,6 </w:t>
      </w:r>
      <w:r w:rsidR="00623E32">
        <w:rPr>
          <w:rFonts w:cstheme="minorHAnsi"/>
          <w:bCs/>
        </w:rPr>
        <w:t xml:space="preserve">milionu </w:t>
      </w:r>
      <w:r w:rsidR="003722E7">
        <w:rPr>
          <w:rFonts w:cstheme="minorHAnsi"/>
          <w:bCs/>
        </w:rPr>
        <w:t xml:space="preserve">korun. </w:t>
      </w:r>
    </w:p>
    <w:p w14:paraId="6F715F39" w14:textId="6B5F084A" w:rsidR="00115584" w:rsidRDefault="00115584" w:rsidP="009A3EBB">
      <w:pPr>
        <w:jc w:val="both"/>
        <w:rPr>
          <w:rFonts w:cstheme="minorHAnsi"/>
          <w:bCs/>
        </w:rPr>
      </w:pPr>
    </w:p>
    <w:p w14:paraId="2C1401CC" w14:textId="50285D7D" w:rsidR="00372764" w:rsidRPr="00115584" w:rsidRDefault="00372764" w:rsidP="003266B8">
      <w:pPr>
        <w:jc w:val="both"/>
        <w:rPr>
          <w:b/>
          <w:bCs/>
          <w:sz w:val="18"/>
          <w:szCs w:val="18"/>
        </w:rPr>
      </w:pPr>
    </w:p>
    <w:p w14:paraId="4FD4608C" w14:textId="77777777" w:rsidR="00D6391A" w:rsidRDefault="00D6391A">
      <w: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943ACC" w14:paraId="56B49415" w14:textId="77777777" w:rsidTr="00943ACC">
        <w:trPr>
          <w:jc w:val="center"/>
        </w:trPr>
        <w:tc>
          <w:tcPr>
            <w:tcW w:w="8217" w:type="dxa"/>
            <w:shd w:val="clear" w:color="auto" w:fill="auto"/>
          </w:tcPr>
          <w:p w14:paraId="0FB234F5" w14:textId="7BED0B38" w:rsidR="00943ACC" w:rsidRDefault="00943ACC" w:rsidP="00943ACC">
            <w:pPr>
              <w:spacing w:after="120"/>
              <w:jc w:val="both"/>
              <w:rPr>
                <w:sz w:val="18"/>
                <w:szCs w:val="18"/>
              </w:rPr>
            </w:pPr>
            <w:r w:rsidRPr="00115584">
              <w:rPr>
                <w:b/>
                <w:bCs/>
                <w:sz w:val="18"/>
                <w:szCs w:val="18"/>
              </w:rPr>
              <w:t>Metodika analýzy společnosti Trikaya</w:t>
            </w:r>
            <w:r w:rsidRPr="00115584">
              <w:rPr>
                <w:sz w:val="18"/>
                <w:szCs w:val="18"/>
              </w:rPr>
              <w:t xml:space="preserve"> </w:t>
            </w:r>
          </w:p>
          <w:p w14:paraId="68A1BFDF" w14:textId="3BADA57B" w:rsidR="00943ACC" w:rsidRPr="00115584" w:rsidRDefault="00943ACC" w:rsidP="00943ACC">
            <w:pPr>
              <w:jc w:val="both"/>
              <w:rPr>
                <w:sz w:val="18"/>
                <w:szCs w:val="18"/>
              </w:rPr>
            </w:pPr>
            <w:r w:rsidRPr="00115584">
              <w:rPr>
                <w:sz w:val="18"/>
                <w:szCs w:val="18"/>
              </w:rPr>
              <w:t>Společnost Trikaya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</w:r>
          </w:p>
          <w:p w14:paraId="204AAA7A" w14:textId="77777777" w:rsidR="00943ACC" w:rsidRPr="00115584" w:rsidRDefault="00943ACC" w:rsidP="00943ACC">
            <w:pPr>
              <w:jc w:val="both"/>
              <w:rPr>
                <w:sz w:val="18"/>
                <w:szCs w:val="18"/>
              </w:rPr>
            </w:pPr>
          </w:p>
          <w:p w14:paraId="6B7AC357" w14:textId="320BE4F5" w:rsidR="00943ACC" w:rsidRPr="00115584" w:rsidRDefault="00943ACC" w:rsidP="00943ACC">
            <w:pPr>
              <w:jc w:val="both"/>
              <w:rPr>
                <w:sz w:val="18"/>
                <w:szCs w:val="18"/>
              </w:rPr>
            </w:pPr>
            <w:r w:rsidRPr="00115584">
              <w:rPr>
                <w:sz w:val="18"/>
                <w:szCs w:val="18"/>
              </w:rPr>
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</w:r>
            <w:r w:rsidRPr="00115584">
              <w:rPr>
                <w:sz w:val="18"/>
                <w:szCs w:val="18"/>
                <w:u w:val="single"/>
              </w:rPr>
              <w:t>v době realizace prodeje,</w:t>
            </w:r>
            <w:r w:rsidRPr="00115584">
              <w:rPr>
                <w:sz w:val="18"/>
                <w:szCs w:val="18"/>
              </w:rPr>
              <w:t xml:space="preserve"> nikoliv až k datu </w:t>
            </w:r>
            <w:r w:rsidR="009C3F32">
              <w:rPr>
                <w:sz w:val="18"/>
                <w:szCs w:val="18"/>
              </w:rPr>
              <w:t>zveřejnění v</w:t>
            </w:r>
            <w:r w:rsidRPr="00115584">
              <w:rPr>
                <w:sz w:val="18"/>
                <w:szCs w:val="18"/>
              </w:rPr>
              <w:t xml:space="preserve"> katastr</w:t>
            </w:r>
            <w:r w:rsidR="009C3F32">
              <w:rPr>
                <w:sz w:val="18"/>
                <w:szCs w:val="18"/>
              </w:rPr>
              <w:t>u</w:t>
            </w:r>
            <w:r w:rsidRPr="00115584">
              <w:rPr>
                <w:sz w:val="18"/>
                <w:szCs w:val="18"/>
              </w:rPr>
              <w:t xml:space="preserve"> nemovitostí. Převážná většina novostaveb se prodává tzv. z papíru – tedy před dokončením, na základě budoucích kupních smluv. Finální smlouva putuje na katastr</w:t>
            </w:r>
            <w:r w:rsidR="009C3F32">
              <w:rPr>
                <w:sz w:val="18"/>
                <w:szCs w:val="18"/>
              </w:rPr>
              <w:t>ální úřad</w:t>
            </w:r>
            <w:r w:rsidRPr="00115584">
              <w:rPr>
                <w:sz w:val="18"/>
                <w:szCs w:val="18"/>
              </w:rPr>
              <w:t xml:space="preserve"> třeba i s dvouletým zpožděním (až se dům zkolauduje). Analýzy cen podle údajů z katastru tak zahrnují časově velmi různorodé cenové hladiny a vývoj cen podle těchto informací je tak mnohdy velmi zkreslený. </w:t>
            </w:r>
          </w:p>
          <w:p w14:paraId="5FA4C336" w14:textId="77777777" w:rsidR="00943ACC" w:rsidRDefault="00943ACC" w:rsidP="00943ACC">
            <w:pPr>
              <w:jc w:val="both"/>
              <w:rPr>
                <w:sz w:val="20"/>
                <w:szCs w:val="20"/>
              </w:rPr>
            </w:pPr>
          </w:p>
          <w:p w14:paraId="4EE1C9F4" w14:textId="77777777" w:rsidR="00943ACC" w:rsidRPr="00115584" w:rsidRDefault="00943ACC" w:rsidP="00943ACC">
            <w:pPr>
              <w:jc w:val="both"/>
              <w:rPr>
                <w:sz w:val="18"/>
                <w:szCs w:val="18"/>
              </w:rPr>
            </w:pPr>
            <w:r w:rsidRPr="00115584">
              <w:rPr>
                <w:sz w:val="18"/>
                <w:szCs w:val="18"/>
              </w:rPr>
              <w:t>V případě jakýchkoliv otázek k metodice zpracování dat použitých v tiskové zprávě, případně požadavku na specifičtější či doplňující data, se můžete obrátit na autora analýzy.</w:t>
            </w:r>
          </w:p>
          <w:p w14:paraId="6B9F3B58" w14:textId="77777777" w:rsidR="00943ACC" w:rsidRDefault="00943ACC" w:rsidP="003266B8">
            <w:pPr>
              <w:jc w:val="both"/>
              <w:rPr>
                <w:sz w:val="20"/>
                <w:szCs w:val="20"/>
              </w:rPr>
            </w:pPr>
          </w:p>
        </w:tc>
      </w:tr>
    </w:tbl>
    <w:p w14:paraId="2F9375C9" w14:textId="77777777" w:rsidR="00115584" w:rsidRDefault="00115584" w:rsidP="00115584">
      <w:pPr>
        <w:jc w:val="both"/>
        <w:rPr>
          <w:b/>
          <w:bCs/>
          <w:i/>
          <w:sz w:val="18"/>
          <w:szCs w:val="18"/>
        </w:rPr>
      </w:pPr>
    </w:p>
    <w:p w14:paraId="5B71993C" w14:textId="77777777" w:rsidR="00115584" w:rsidRDefault="00115584" w:rsidP="00115584">
      <w:pPr>
        <w:jc w:val="both"/>
        <w:rPr>
          <w:b/>
          <w:bCs/>
          <w:i/>
          <w:sz w:val="18"/>
          <w:szCs w:val="18"/>
        </w:rPr>
      </w:pPr>
    </w:p>
    <w:p w14:paraId="0252C62C" w14:textId="471A6A6C" w:rsidR="00115584" w:rsidRPr="00115584" w:rsidRDefault="00115584" w:rsidP="00115584">
      <w:pPr>
        <w:jc w:val="both"/>
        <w:rPr>
          <w:b/>
          <w:bCs/>
          <w:i/>
          <w:sz w:val="18"/>
          <w:szCs w:val="18"/>
        </w:rPr>
      </w:pPr>
      <w:r w:rsidRPr="00115584">
        <w:rPr>
          <w:b/>
          <w:bCs/>
          <w:i/>
          <w:sz w:val="18"/>
          <w:szCs w:val="18"/>
        </w:rPr>
        <w:t>O společnosti Trikaya</w:t>
      </w:r>
    </w:p>
    <w:p w14:paraId="3C892E12" w14:textId="77777777" w:rsidR="00115584" w:rsidRPr="00115584" w:rsidRDefault="00115584" w:rsidP="00115584">
      <w:pPr>
        <w:jc w:val="both"/>
        <w:rPr>
          <w:b/>
          <w:sz w:val="18"/>
          <w:szCs w:val="18"/>
        </w:rPr>
      </w:pPr>
      <w:r w:rsidRPr="00115584">
        <w:rPr>
          <w:i/>
          <w:sz w:val="18"/>
          <w:szCs w:val="18"/>
        </w:rPr>
        <w:t>Realitní skupina Trikaya je skupinou společností podnikajících v oblasti výstavby a investic do nemovitostí v České republice se specializací na druhé největší město u nás – Brno. Společnost byla založena v roce 2010 a původně se věnovala čistě developmentu rezidenčních budov. V současné době společnost realizuje kromě rezidenční výstavby také výstavbu administrativních budov a investice do velkých obchodních center s plánovanou rekonstrukcí a jejich rozvojem. Cílem společnosti Trikaya je budovat inovativní projekty, které nabídnou klientům nejen vysokou kvalitu, ale i standardy běžné v ostatních vyspělých státech světa.</w:t>
      </w:r>
    </w:p>
    <w:p w14:paraId="110B5112" w14:textId="7A31DE7A" w:rsidR="00115584" w:rsidRDefault="00115584" w:rsidP="003266B8">
      <w:pPr>
        <w:jc w:val="both"/>
        <w:rPr>
          <w:sz w:val="18"/>
          <w:szCs w:val="18"/>
        </w:rPr>
      </w:pPr>
    </w:p>
    <w:p w14:paraId="6630DE56" w14:textId="77777777" w:rsidR="00115584" w:rsidRPr="00115584" w:rsidRDefault="00115584" w:rsidP="003266B8">
      <w:pPr>
        <w:jc w:val="both"/>
        <w:rPr>
          <w:sz w:val="18"/>
          <w:szCs w:val="18"/>
        </w:rPr>
      </w:pPr>
    </w:p>
    <w:p w14:paraId="2A9943B8" w14:textId="77777777" w:rsidR="00115584" w:rsidRPr="00115584" w:rsidRDefault="00115584" w:rsidP="00115584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Kontakt pro média: Petra </w:t>
      </w:r>
      <w:proofErr w:type="spellStart"/>
      <w:r w:rsidRPr="00115584">
        <w:rPr>
          <w:sz w:val="18"/>
          <w:szCs w:val="18"/>
        </w:rPr>
        <w:t>Filsaková</w:t>
      </w:r>
      <w:proofErr w:type="spellEnd"/>
      <w:r w:rsidRPr="00115584">
        <w:rPr>
          <w:sz w:val="18"/>
          <w:szCs w:val="18"/>
        </w:rPr>
        <w:t xml:space="preserve">, </w:t>
      </w:r>
      <w:proofErr w:type="spellStart"/>
      <w:r w:rsidRPr="00115584">
        <w:rPr>
          <w:sz w:val="18"/>
          <w:szCs w:val="18"/>
        </w:rPr>
        <w:t>Ewing</w:t>
      </w:r>
      <w:proofErr w:type="spellEnd"/>
      <w:r w:rsidRPr="00115584">
        <w:rPr>
          <w:sz w:val="18"/>
          <w:szCs w:val="18"/>
        </w:rPr>
        <w:t xml:space="preserve"> s. r. o., </w:t>
      </w:r>
      <w:hyperlink r:id="rId9" w:history="1">
        <w:r w:rsidRPr="00115584">
          <w:rPr>
            <w:rStyle w:val="Hypertextovodkaz"/>
            <w:sz w:val="18"/>
            <w:szCs w:val="18"/>
          </w:rPr>
          <w:t>filsakova@ewing.cz</w:t>
        </w:r>
      </w:hyperlink>
      <w:r w:rsidRPr="00115584">
        <w:rPr>
          <w:sz w:val="18"/>
          <w:szCs w:val="18"/>
        </w:rPr>
        <w:t>; +420 721 959 962</w:t>
      </w:r>
    </w:p>
    <w:p w14:paraId="0B2BCE62" w14:textId="42A6433E" w:rsidR="00115584" w:rsidRPr="00115584" w:rsidRDefault="00115584" w:rsidP="003266B8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Autor analýzy: František </w:t>
      </w:r>
      <w:proofErr w:type="spellStart"/>
      <w:r w:rsidRPr="00115584">
        <w:rPr>
          <w:sz w:val="18"/>
          <w:szCs w:val="18"/>
        </w:rPr>
        <w:t>Šudřich</w:t>
      </w:r>
      <w:proofErr w:type="spellEnd"/>
      <w:r w:rsidRPr="00115584">
        <w:rPr>
          <w:sz w:val="18"/>
          <w:szCs w:val="18"/>
        </w:rPr>
        <w:t>, obchodní ředitel společnosti Trikaya</w:t>
      </w:r>
    </w:p>
    <w:sectPr w:rsidR="00115584" w:rsidRPr="00115584" w:rsidSect="00587CA6">
      <w:headerReference w:type="default" r:id="rId10"/>
      <w:footerReference w:type="default" r:id="rId11"/>
      <w:pgSz w:w="11906" w:h="16838" w:code="9"/>
      <w:pgMar w:top="2977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83B" w14:textId="77777777" w:rsidR="00A56DB6" w:rsidRDefault="00A56DB6" w:rsidP="00FF7F2C">
      <w:pPr>
        <w:spacing w:line="240" w:lineRule="auto"/>
      </w:pPr>
      <w:r>
        <w:separator/>
      </w:r>
    </w:p>
  </w:endnote>
  <w:endnote w:type="continuationSeparator" w:id="0">
    <w:p w14:paraId="0EF88ADE" w14:textId="77777777" w:rsidR="00A56DB6" w:rsidRDefault="00A56DB6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DCB" w14:textId="77777777" w:rsidR="00090151" w:rsidRPr="00BC6A3E" w:rsidRDefault="00090151" w:rsidP="00BC6A3E">
    <w:pPr>
      <w:pStyle w:val="Zpat"/>
    </w:pPr>
    <w:r w:rsidRPr="00BC6A3E">
      <w:t>Tri</w:t>
    </w:r>
    <w:r>
      <w:t>kaya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97C02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97C0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29F5" w14:textId="77777777" w:rsidR="00A56DB6" w:rsidRDefault="00A56DB6" w:rsidP="00FF7F2C">
      <w:pPr>
        <w:spacing w:line="240" w:lineRule="auto"/>
      </w:pPr>
      <w:r>
        <w:separator/>
      </w:r>
    </w:p>
  </w:footnote>
  <w:footnote w:type="continuationSeparator" w:id="0">
    <w:p w14:paraId="08B92751" w14:textId="77777777" w:rsidR="00A56DB6" w:rsidRDefault="00A56DB6" w:rsidP="00FF7F2C">
      <w:pPr>
        <w:spacing w:line="240" w:lineRule="auto"/>
      </w:pPr>
      <w:r>
        <w:continuationSeparator/>
      </w:r>
    </w:p>
  </w:footnote>
  <w:footnote w:id="1">
    <w:p w14:paraId="68A0CD33" w14:textId="77777777" w:rsidR="00D6391A" w:rsidRDefault="00D6391A" w:rsidP="00D6391A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dělena podlahovou plochou uváděnou developerem (nejčastěji celková podlahová plocha dle NOZ)</w:t>
      </w:r>
      <w:r>
        <w:rPr>
          <w:noProof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5A"/>
    <w:multiLevelType w:val="hybridMultilevel"/>
    <w:tmpl w:val="08F6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16"/>
    <w:multiLevelType w:val="hybridMultilevel"/>
    <w:tmpl w:val="C8BEDF02"/>
    <w:lvl w:ilvl="0" w:tplc="442CCD3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5946">
    <w:abstractNumId w:val="4"/>
  </w:num>
  <w:num w:numId="2" w16cid:durableId="1399009886">
    <w:abstractNumId w:val="3"/>
  </w:num>
  <w:num w:numId="3" w16cid:durableId="1167214418">
    <w:abstractNumId w:val="2"/>
  </w:num>
  <w:num w:numId="4" w16cid:durableId="154298639">
    <w:abstractNumId w:val="1"/>
  </w:num>
  <w:num w:numId="5" w16cid:durableId="152058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17795"/>
    <w:rsid w:val="00030A0F"/>
    <w:rsid w:val="00041778"/>
    <w:rsid w:val="0004270A"/>
    <w:rsid w:val="00051BF3"/>
    <w:rsid w:val="000528EE"/>
    <w:rsid w:val="000552BF"/>
    <w:rsid w:val="00063625"/>
    <w:rsid w:val="00090151"/>
    <w:rsid w:val="00090FC2"/>
    <w:rsid w:val="000974E3"/>
    <w:rsid w:val="000A2A3F"/>
    <w:rsid w:val="000A4030"/>
    <w:rsid w:val="000D762C"/>
    <w:rsid w:val="000D7CD7"/>
    <w:rsid w:val="001019E5"/>
    <w:rsid w:val="00112DDD"/>
    <w:rsid w:val="00115584"/>
    <w:rsid w:val="00117DC3"/>
    <w:rsid w:val="00136B3F"/>
    <w:rsid w:val="00137506"/>
    <w:rsid w:val="00137870"/>
    <w:rsid w:val="00140B8F"/>
    <w:rsid w:val="00156304"/>
    <w:rsid w:val="001876FF"/>
    <w:rsid w:val="0019637A"/>
    <w:rsid w:val="00196BF8"/>
    <w:rsid w:val="001B5A5D"/>
    <w:rsid w:val="001C45C8"/>
    <w:rsid w:val="001D109A"/>
    <w:rsid w:val="001E2E64"/>
    <w:rsid w:val="001E67B3"/>
    <w:rsid w:val="002019CB"/>
    <w:rsid w:val="00202DEF"/>
    <w:rsid w:val="00210E13"/>
    <w:rsid w:val="00215346"/>
    <w:rsid w:val="00222B9D"/>
    <w:rsid w:val="00226843"/>
    <w:rsid w:val="00236CD0"/>
    <w:rsid w:val="0024186D"/>
    <w:rsid w:val="00242816"/>
    <w:rsid w:val="00252E04"/>
    <w:rsid w:val="0026383B"/>
    <w:rsid w:val="00273A0A"/>
    <w:rsid w:val="0027650F"/>
    <w:rsid w:val="00282070"/>
    <w:rsid w:val="00284095"/>
    <w:rsid w:val="00285818"/>
    <w:rsid w:val="002A070A"/>
    <w:rsid w:val="002A125D"/>
    <w:rsid w:val="002A2D0D"/>
    <w:rsid w:val="002A42A3"/>
    <w:rsid w:val="002A5AEF"/>
    <w:rsid w:val="002B1025"/>
    <w:rsid w:val="002B1D7D"/>
    <w:rsid w:val="002C4DC3"/>
    <w:rsid w:val="002C5E6B"/>
    <w:rsid w:val="002C74E1"/>
    <w:rsid w:val="002E0CC4"/>
    <w:rsid w:val="00313B63"/>
    <w:rsid w:val="003259BA"/>
    <w:rsid w:val="003266B8"/>
    <w:rsid w:val="00330F0D"/>
    <w:rsid w:val="00333F51"/>
    <w:rsid w:val="00335436"/>
    <w:rsid w:val="003421B5"/>
    <w:rsid w:val="003564F1"/>
    <w:rsid w:val="0036294B"/>
    <w:rsid w:val="003722E7"/>
    <w:rsid w:val="00372764"/>
    <w:rsid w:val="00384E89"/>
    <w:rsid w:val="00387C21"/>
    <w:rsid w:val="003A765D"/>
    <w:rsid w:val="003B41EB"/>
    <w:rsid w:val="003F5A03"/>
    <w:rsid w:val="00404240"/>
    <w:rsid w:val="00405584"/>
    <w:rsid w:val="00417358"/>
    <w:rsid w:val="0042580E"/>
    <w:rsid w:val="00433B6F"/>
    <w:rsid w:val="00434477"/>
    <w:rsid w:val="004349E1"/>
    <w:rsid w:val="00450609"/>
    <w:rsid w:val="004549CE"/>
    <w:rsid w:val="00470263"/>
    <w:rsid w:val="0047708A"/>
    <w:rsid w:val="0049675E"/>
    <w:rsid w:val="004B79F5"/>
    <w:rsid w:val="004C6610"/>
    <w:rsid w:val="004D6FF7"/>
    <w:rsid w:val="004D78C5"/>
    <w:rsid w:val="004E18C3"/>
    <w:rsid w:val="004E6E42"/>
    <w:rsid w:val="004F515B"/>
    <w:rsid w:val="005043C5"/>
    <w:rsid w:val="005130F6"/>
    <w:rsid w:val="00514476"/>
    <w:rsid w:val="00517ED3"/>
    <w:rsid w:val="00520B7B"/>
    <w:rsid w:val="0052228D"/>
    <w:rsid w:val="0052445A"/>
    <w:rsid w:val="00543494"/>
    <w:rsid w:val="0055087A"/>
    <w:rsid w:val="00551481"/>
    <w:rsid w:val="0055349E"/>
    <w:rsid w:val="00560F09"/>
    <w:rsid w:val="0057018E"/>
    <w:rsid w:val="00571D6C"/>
    <w:rsid w:val="00573A8E"/>
    <w:rsid w:val="00573AEE"/>
    <w:rsid w:val="005774AA"/>
    <w:rsid w:val="005831C3"/>
    <w:rsid w:val="005857C6"/>
    <w:rsid w:val="005859DB"/>
    <w:rsid w:val="00587CA6"/>
    <w:rsid w:val="00597C02"/>
    <w:rsid w:val="005A4F23"/>
    <w:rsid w:val="005A7044"/>
    <w:rsid w:val="005B3AB0"/>
    <w:rsid w:val="005B416B"/>
    <w:rsid w:val="005B736E"/>
    <w:rsid w:val="005C177A"/>
    <w:rsid w:val="005E36F7"/>
    <w:rsid w:val="005F1289"/>
    <w:rsid w:val="005F5916"/>
    <w:rsid w:val="00607AAB"/>
    <w:rsid w:val="00612A06"/>
    <w:rsid w:val="00616F5C"/>
    <w:rsid w:val="00623168"/>
    <w:rsid w:val="00623E32"/>
    <w:rsid w:val="0062660E"/>
    <w:rsid w:val="00634EF7"/>
    <w:rsid w:val="0064193D"/>
    <w:rsid w:val="00647F76"/>
    <w:rsid w:val="006570B0"/>
    <w:rsid w:val="006704D7"/>
    <w:rsid w:val="00681AA3"/>
    <w:rsid w:val="0069165B"/>
    <w:rsid w:val="00694B96"/>
    <w:rsid w:val="006B48FF"/>
    <w:rsid w:val="006C56B5"/>
    <w:rsid w:val="006C6A1A"/>
    <w:rsid w:val="006F23D6"/>
    <w:rsid w:val="006F7FCA"/>
    <w:rsid w:val="00722F2F"/>
    <w:rsid w:val="00723C8D"/>
    <w:rsid w:val="00736001"/>
    <w:rsid w:val="007413A6"/>
    <w:rsid w:val="00764A54"/>
    <w:rsid w:val="00765EDC"/>
    <w:rsid w:val="007757A7"/>
    <w:rsid w:val="00784A27"/>
    <w:rsid w:val="0079652E"/>
    <w:rsid w:val="007A3DFC"/>
    <w:rsid w:val="007B7A6B"/>
    <w:rsid w:val="007C0A32"/>
    <w:rsid w:val="007C1863"/>
    <w:rsid w:val="007D602A"/>
    <w:rsid w:val="007D6A80"/>
    <w:rsid w:val="007E5AC8"/>
    <w:rsid w:val="00811989"/>
    <w:rsid w:val="00827B0E"/>
    <w:rsid w:val="00837648"/>
    <w:rsid w:val="00837AE2"/>
    <w:rsid w:val="00852C42"/>
    <w:rsid w:val="0085461C"/>
    <w:rsid w:val="00897007"/>
    <w:rsid w:val="008E23D8"/>
    <w:rsid w:val="008F223E"/>
    <w:rsid w:val="008F4BB3"/>
    <w:rsid w:val="008F4DE2"/>
    <w:rsid w:val="0090030A"/>
    <w:rsid w:val="00902359"/>
    <w:rsid w:val="00904773"/>
    <w:rsid w:val="009325CD"/>
    <w:rsid w:val="00933754"/>
    <w:rsid w:val="009346CC"/>
    <w:rsid w:val="00941A0D"/>
    <w:rsid w:val="00941B03"/>
    <w:rsid w:val="00943ACC"/>
    <w:rsid w:val="00945239"/>
    <w:rsid w:val="00947865"/>
    <w:rsid w:val="0095361D"/>
    <w:rsid w:val="009563F9"/>
    <w:rsid w:val="00973F6F"/>
    <w:rsid w:val="00976AEF"/>
    <w:rsid w:val="0098142E"/>
    <w:rsid w:val="009A297E"/>
    <w:rsid w:val="009A3EBB"/>
    <w:rsid w:val="009A6DF7"/>
    <w:rsid w:val="009B575E"/>
    <w:rsid w:val="009B63E4"/>
    <w:rsid w:val="009C3F32"/>
    <w:rsid w:val="009D218C"/>
    <w:rsid w:val="009D63AF"/>
    <w:rsid w:val="009D765F"/>
    <w:rsid w:val="009E143E"/>
    <w:rsid w:val="009E2C21"/>
    <w:rsid w:val="009E7560"/>
    <w:rsid w:val="00A06D29"/>
    <w:rsid w:val="00A25A2F"/>
    <w:rsid w:val="00A42394"/>
    <w:rsid w:val="00A4288D"/>
    <w:rsid w:val="00A53A70"/>
    <w:rsid w:val="00A56DB6"/>
    <w:rsid w:val="00A708F9"/>
    <w:rsid w:val="00A76F2E"/>
    <w:rsid w:val="00AB3F03"/>
    <w:rsid w:val="00AB7C7B"/>
    <w:rsid w:val="00AD35B7"/>
    <w:rsid w:val="00AD5CBA"/>
    <w:rsid w:val="00B3561E"/>
    <w:rsid w:val="00B36900"/>
    <w:rsid w:val="00B37F1F"/>
    <w:rsid w:val="00B4613F"/>
    <w:rsid w:val="00B656E4"/>
    <w:rsid w:val="00B721C3"/>
    <w:rsid w:val="00B90754"/>
    <w:rsid w:val="00BA2AD4"/>
    <w:rsid w:val="00BB7C02"/>
    <w:rsid w:val="00BC6A3E"/>
    <w:rsid w:val="00BC7DE2"/>
    <w:rsid w:val="00BF208A"/>
    <w:rsid w:val="00C06E67"/>
    <w:rsid w:val="00C16173"/>
    <w:rsid w:val="00C20F7D"/>
    <w:rsid w:val="00C25058"/>
    <w:rsid w:val="00C26522"/>
    <w:rsid w:val="00C26C5D"/>
    <w:rsid w:val="00C2713B"/>
    <w:rsid w:val="00C44977"/>
    <w:rsid w:val="00C5205C"/>
    <w:rsid w:val="00C605C0"/>
    <w:rsid w:val="00C625A0"/>
    <w:rsid w:val="00C625C3"/>
    <w:rsid w:val="00C63949"/>
    <w:rsid w:val="00C75E36"/>
    <w:rsid w:val="00C845BB"/>
    <w:rsid w:val="00C937B8"/>
    <w:rsid w:val="00C94A34"/>
    <w:rsid w:val="00CA7404"/>
    <w:rsid w:val="00CC5EB9"/>
    <w:rsid w:val="00CE7D3F"/>
    <w:rsid w:val="00CF0332"/>
    <w:rsid w:val="00CF19C7"/>
    <w:rsid w:val="00D012A0"/>
    <w:rsid w:val="00D1042B"/>
    <w:rsid w:val="00D171A9"/>
    <w:rsid w:val="00D22D33"/>
    <w:rsid w:val="00D3253C"/>
    <w:rsid w:val="00D35280"/>
    <w:rsid w:val="00D45128"/>
    <w:rsid w:val="00D534B5"/>
    <w:rsid w:val="00D6391A"/>
    <w:rsid w:val="00D75B18"/>
    <w:rsid w:val="00D8111C"/>
    <w:rsid w:val="00DC0256"/>
    <w:rsid w:val="00DF42D9"/>
    <w:rsid w:val="00E03FEF"/>
    <w:rsid w:val="00E072E3"/>
    <w:rsid w:val="00E16528"/>
    <w:rsid w:val="00E249AE"/>
    <w:rsid w:val="00E2693A"/>
    <w:rsid w:val="00E50A32"/>
    <w:rsid w:val="00E7617E"/>
    <w:rsid w:val="00EB2665"/>
    <w:rsid w:val="00EC04AB"/>
    <w:rsid w:val="00EF58B8"/>
    <w:rsid w:val="00F25952"/>
    <w:rsid w:val="00F62D40"/>
    <w:rsid w:val="00F7598F"/>
    <w:rsid w:val="00F82DD6"/>
    <w:rsid w:val="00FA4333"/>
    <w:rsid w:val="00FA700F"/>
    <w:rsid w:val="00FB5587"/>
    <w:rsid w:val="00FC5062"/>
    <w:rsid w:val="00FD11F0"/>
    <w:rsid w:val="00FE4DB5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frantiseksudrich\Documents\Trikaya\Projekty%20v%20Brne&#780;\2018_03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Vývoj průměrné</a:t>
            </a:r>
            <a:r>
              <a:rPr lang="cs-CZ" baseline="0"/>
              <a:t> </a:t>
            </a:r>
            <a:r>
              <a:rPr lang="cs-CZ"/>
              <a:t>ceny volných bytů v novostavbách </a:t>
            </a:r>
            <a:br>
              <a:rPr lang="cs-CZ"/>
            </a:br>
            <a:r>
              <a:rPr lang="cs-CZ"/>
              <a:t>v Brně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82E2E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25-4A7A-847E-0F386E4EFA9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25-4A7A-847E-0F386E4EFA9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25-4A7A-847E-0F386E4EFA9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25-4A7A-847E-0F386E4EFA9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25-4A7A-847E-0F386E4EFA9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25-4A7A-847E-0F386E4EFA91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25-4A7A-847E-0F386E4EFA9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25-4A7A-847E-0F386E4EFA91}"/>
                </c:ext>
              </c:extLst>
            </c:dLbl>
            <c:dLbl>
              <c:idx val="18"/>
              <c:layout>
                <c:manualLayout>
                  <c:x val="-1.617747323851647E-16"/>
                  <c:y val="-4.1067761806981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25-4A7A-847E-0F386E4EFA91}"/>
                </c:ext>
              </c:extLst>
            </c:dLbl>
            <c:dLbl>
              <c:idx val="19"/>
              <c:layout>
                <c:manualLayout>
                  <c:x val="0"/>
                  <c:y val="-3.0800821355236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25-4A7A-847E-0F386E4EFA91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567-4717-A71F-1152095C09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C00000"/>
                </a:solidFill>
                <a:prstDash val="sysDot"/>
              </a:ln>
              <a:effectLst/>
            </c:spPr>
            <c:trendlineType val="poly"/>
            <c:order val="3"/>
            <c:forward val="2"/>
            <c:dispRSqr val="0"/>
            <c:dispEq val="0"/>
          </c:trendline>
          <c:cat>
            <c:strRef>
              <c:f>List1!$E$39:$E$59</c:f>
              <c:strCache>
                <c:ptCount val="21"/>
                <c:pt idx="0">
                  <c:v>Q1 2016</c:v>
                </c:pt>
                <c:pt idx="1">
                  <c:v>Q2 2016</c:v>
                </c:pt>
                <c:pt idx="2">
                  <c:v>Q3 2016</c:v>
                </c:pt>
                <c:pt idx="3">
                  <c:v>Q4 2016</c:v>
                </c:pt>
                <c:pt idx="4">
                  <c:v>Q1 2017</c:v>
                </c:pt>
                <c:pt idx="5">
                  <c:v>Q2 2017</c:v>
                </c:pt>
                <c:pt idx="6">
                  <c:v>Q3 2017</c:v>
                </c:pt>
                <c:pt idx="7">
                  <c:v>Q4 2017</c:v>
                </c:pt>
                <c:pt idx="8">
                  <c:v>Q1 2018</c:v>
                </c:pt>
                <c:pt idx="9">
                  <c:v>Q2 2018</c:v>
                </c:pt>
                <c:pt idx="10">
                  <c:v>Q3 2018</c:v>
                </c:pt>
                <c:pt idx="11">
                  <c:v>Q4 2018</c:v>
                </c:pt>
                <c:pt idx="12">
                  <c:v>Q1 2019</c:v>
                </c:pt>
                <c:pt idx="13">
                  <c:v>Q2 2019</c:v>
                </c:pt>
                <c:pt idx="14">
                  <c:v>Q3 2019</c:v>
                </c:pt>
                <c:pt idx="15">
                  <c:v>Q4 2019</c:v>
                </c:pt>
                <c:pt idx="16">
                  <c:v>Q1 2020</c:v>
                </c:pt>
                <c:pt idx="17">
                  <c:v>Q2 2020</c:v>
                </c:pt>
                <c:pt idx="18">
                  <c:v>Q3 2020</c:v>
                </c:pt>
                <c:pt idx="19">
                  <c:v>Q4 2020</c:v>
                </c:pt>
                <c:pt idx="20">
                  <c:v>Q1 2021</c:v>
                </c:pt>
              </c:strCache>
            </c:strRef>
          </c:cat>
          <c:val>
            <c:numRef>
              <c:f>List1!$F$39:$F$59</c:f>
              <c:numCache>
                <c:formatCode>_-* #\ ##0\ "Kč"_-;\-* #\ ##0\ "Kč"_-;_-* "-"??\ "Kč"_-;_-@_-</c:formatCode>
                <c:ptCount val="21"/>
                <c:pt idx="0">
                  <c:v>56569</c:v>
                </c:pt>
                <c:pt idx="1">
                  <c:v>55596</c:v>
                </c:pt>
                <c:pt idx="2">
                  <c:v>59311</c:v>
                </c:pt>
                <c:pt idx="3">
                  <c:v>59311</c:v>
                </c:pt>
                <c:pt idx="4">
                  <c:v>61337</c:v>
                </c:pt>
                <c:pt idx="5">
                  <c:v>64594</c:v>
                </c:pt>
                <c:pt idx="6">
                  <c:v>65359</c:v>
                </c:pt>
                <c:pt idx="7">
                  <c:v>67976</c:v>
                </c:pt>
                <c:pt idx="8">
                  <c:v>73074.371487960307</c:v>
                </c:pt>
                <c:pt idx="9">
                  <c:v>71035</c:v>
                </c:pt>
                <c:pt idx="10">
                  <c:v>75800</c:v>
                </c:pt>
                <c:pt idx="11">
                  <c:v>75481</c:v>
                </c:pt>
                <c:pt idx="12">
                  <c:v>76500</c:v>
                </c:pt>
                <c:pt idx="13">
                  <c:v>80583</c:v>
                </c:pt>
                <c:pt idx="14" formatCode="&quot;Kč&quot;#,##0_);[Red]\(&quot;Kč&quot;#,##0\)">
                  <c:v>80800</c:v>
                </c:pt>
                <c:pt idx="15">
                  <c:v>82500</c:v>
                </c:pt>
                <c:pt idx="16" formatCode="#,##0">
                  <c:v>85500</c:v>
                </c:pt>
                <c:pt idx="17">
                  <c:v>86800</c:v>
                </c:pt>
                <c:pt idx="18">
                  <c:v>88000</c:v>
                </c:pt>
                <c:pt idx="19">
                  <c:v>96400</c:v>
                </c:pt>
                <c:pt idx="20">
                  <c:v>108400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A25-4A7A-847E-0F386E4EF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127368"/>
        <c:axId val="585128152"/>
      </c:barChart>
      <c:catAx>
        <c:axId val="58512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5128152"/>
        <c:crosses val="autoZero"/>
        <c:auto val="1"/>
        <c:lblAlgn val="ctr"/>
        <c:lblOffset val="100"/>
        <c:noMultiLvlLbl val="0"/>
      </c:catAx>
      <c:valAx>
        <c:axId val="585128152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&quot;Kč&quot;_-;\-* #\ ##0\ &quot;Kč&quot;_-;_-* &quot;-&quot;??\ &quot;Kč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5127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8098155-8E48-4B9C-AB0E-BE08D5F0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Tashi Erml</cp:lastModifiedBy>
  <cp:revision>15</cp:revision>
  <cp:lastPrinted>2020-10-15T16:21:00Z</cp:lastPrinted>
  <dcterms:created xsi:type="dcterms:W3CDTF">2021-04-27T15:26:00Z</dcterms:created>
  <dcterms:modified xsi:type="dcterms:W3CDTF">2023-05-23T11:29:00Z</dcterms:modified>
</cp:coreProperties>
</file>