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6E390DDE" w:rsidR="00A76F2E" w:rsidRPr="009A297E" w:rsidRDefault="00ED0722" w:rsidP="00D45128">
      <w:pPr>
        <w:jc w:val="right"/>
        <w:rPr>
          <w:sz w:val="18"/>
        </w:rPr>
      </w:pPr>
      <w:r>
        <w:rPr>
          <w:sz w:val="18"/>
        </w:rPr>
        <w:t xml:space="preserve">Datum: </w:t>
      </w:r>
      <w:r w:rsidR="00C77D2D">
        <w:rPr>
          <w:sz w:val="18"/>
        </w:rPr>
        <w:t>10.</w:t>
      </w:r>
      <w:r>
        <w:rPr>
          <w:sz w:val="18"/>
        </w:rPr>
        <w:t xml:space="preserve"> </w:t>
      </w:r>
      <w:r w:rsidR="00C77D2D">
        <w:rPr>
          <w:sz w:val="18"/>
        </w:rPr>
        <w:t>10</w:t>
      </w:r>
      <w:r>
        <w:rPr>
          <w:sz w:val="18"/>
        </w:rPr>
        <w:t>. 202</w:t>
      </w:r>
      <w:r w:rsidR="00AB3EE4">
        <w:rPr>
          <w:sz w:val="18"/>
        </w:rPr>
        <w:t>2</w:t>
      </w:r>
    </w:p>
    <w:p w14:paraId="64E7CC2B" w14:textId="77777777" w:rsidR="009A297E" w:rsidRPr="00B94975" w:rsidRDefault="009A297E" w:rsidP="00D45128">
      <w:pPr>
        <w:jc w:val="both"/>
      </w:pPr>
    </w:p>
    <w:p w14:paraId="09DEA3FC" w14:textId="77777777" w:rsidR="00C77D2D" w:rsidRDefault="00C77D2D" w:rsidP="00967D0A">
      <w:pPr>
        <w:jc w:val="both"/>
        <w:rPr>
          <w:b/>
          <w:sz w:val="30"/>
          <w:szCs w:val="30"/>
          <w:vertAlign w:val="superscript"/>
        </w:rPr>
      </w:pPr>
      <w:r>
        <w:rPr>
          <w:b/>
          <w:sz w:val="30"/>
          <w:szCs w:val="30"/>
        </w:rPr>
        <w:t>Brněnský trh novostaveb ochladl, prodalo se nejméně bytů za dekádu</w:t>
      </w:r>
    </w:p>
    <w:p w14:paraId="46974973" w14:textId="77777777" w:rsidR="00AB3EE4" w:rsidRPr="00B94975" w:rsidRDefault="00AB3EE4" w:rsidP="00971DD8">
      <w:pPr>
        <w:rPr>
          <w:b/>
          <w:color w:val="3B3838" w:themeColor="background2" w:themeShade="40"/>
        </w:rPr>
      </w:pPr>
    </w:p>
    <w:p w14:paraId="3A81BAE8" w14:textId="77777777" w:rsidR="00C77D2D" w:rsidRDefault="00AE309D" w:rsidP="00C77D2D">
      <w:pPr>
        <w:jc w:val="both"/>
        <w:rPr>
          <w:b/>
        </w:rPr>
      </w:pPr>
      <w:r w:rsidRPr="005C4DE7">
        <w:rPr>
          <w:b/>
          <w:color w:val="000000" w:themeColor="text1"/>
        </w:rPr>
        <w:t>Brno –</w:t>
      </w:r>
      <w:r w:rsidR="00344119">
        <w:rPr>
          <w:b/>
          <w:color w:val="000000" w:themeColor="text1"/>
        </w:rPr>
        <w:t xml:space="preserve"> </w:t>
      </w:r>
      <w:r w:rsidR="00C77D2D">
        <w:rPr>
          <w:b/>
        </w:rPr>
        <w:t>Prodeje bytů v Brně se propadly ve třetím čtvrtletí roku 2022 na historické minimum. Potvrdil se tak trend, který naznačil již druhý kvartál. Z dat společnosti Trikaya vyplývá, že 70 prodaných nových jednotek je vůbec nejméně od roku 2013. Výrazný propad zájmu o byty se projevil i v jejich cenách. Zatímco v minulém čtvrtletí ještě průměrná cena za metr čtvereční dosáhla nového maxima, mezi červnem a srpnem poklesla na 126 500 Kč.</w:t>
      </w:r>
    </w:p>
    <w:p w14:paraId="6B8231F6" w14:textId="1DEC372A" w:rsidR="004B0F41" w:rsidRPr="005C4DE7" w:rsidRDefault="004B0F41" w:rsidP="00C77D2D">
      <w:pPr>
        <w:jc w:val="both"/>
        <w:rPr>
          <w:b/>
          <w:color w:val="000000" w:themeColor="text1"/>
        </w:rPr>
      </w:pPr>
    </w:p>
    <w:p w14:paraId="362F2962" w14:textId="374D248D" w:rsidR="00C77D2D" w:rsidRDefault="00C77D2D" w:rsidP="00C77D2D">
      <w:pPr>
        <w:jc w:val="both"/>
      </w:pPr>
      <w:r>
        <w:rPr>
          <w:i/>
          <w:iCs/>
        </w:rPr>
        <w:t xml:space="preserve">„Ve srovnání s minulým sledovaným obdobím se v Brně prodala ani ne polovina jednotek. Prodeje tak klesly nejen pod hodnoty slabého začátku roku 2018, ale jsou vůbec nejnižší za necelou uplynulou dekádu, co trh monitorujeme,“ </w:t>
      </w:r>
      <w:r>
        <w:t>říká Dalibor Lamka, výkonný ředitel</w:t>
      </w:r>
      <w:r>
        <w:br/>
      </w:r>
      <w:r>
        <w:t xml:space="preserve">a předseda představenstva společnosti. </w:t>
      </w:r>
    </w:p>
    <w:p w14:paraId="04CEA10F" w14:textId="4A535351" w:rsidR="00AB3EE4" w:rsidRDefault="00AB3EE4" w:rsidP="00C77D2D">
      <w:pPr>
        <w:jc w:val="both"/>
        <w:rPr>
          <w:bCs/>
          <w:color w:val="3B3838" w:themeColor="background2" w:themeShade="40"/>
        </w:rPr>
      </w:pPr>
    </w:p>
    <w:p w14:paraId="06EF918E" w14:textId="77777777" w:rsidR="00C77D2D" w:rsidRDefault="00C77D2D" w:rsidP="00C77D2D">
      <w:pPr>
        <w:jc w:val="both"/>
        <w:rPr>
          <w:b/>
          <w:bCs/>
        </w:rPr>
      </w:pPr>
      <w:r w:rsidRPr="00C77D2D">
        <w:rPr>
          <w:b/>
          <w:bCs/>
          <w:sz w:val="28"/>
          <w:szCs w:val="28"/>
        </w:rPr>
        <w:t>Nezájem kupujících se projevil na cenách</w:t>
      </w:r>
    </w:p>
    <w:p w14:paraId="5555F523" w14:textId="77777777" w:rsidR="00C77D2D" w:rsidRDefault="00C77D2D" w:rsidP="00C77D2D">
      <w:pPr>
        <w:jc w:val="both"/>
        <w:rPr>
          <w:b/>
          <w:bCs/>
        </w:rPr>
      </w:pPr>
    </w:p>
    <w:p w14:paraId="2FAFAB0F" w14:textId="77777777" w:rsidR="00C77D2D" w:rsidRDefault="00C77D2D" w:rsidP="00C77D2D">
      <w:pPr>
        <w:jc w:val="both"/>
      </w:pPr>
      <w:r>
        <w:t>Průměrná nabídková cena bytů v brněnských novostavbách poprvé od začátku roku 2018 poklesla. Byty v nabídce ve třetím čtvrtletí stály 126 500 Kč za metr čtvereční, mezikvartálně tedy poklesly o 700 Kč. Ještě znatelnější je pak změna u prodaných jednotek. U těch se průměr dostal dokonce pod hodnotu metru čtverečního ze začátku roku 2022. Zatímco v období dubna a června se cena novostaveb vyšplhala přes hranici 130 tisíc, za uplynulé tři měsíce se vrátila těsně pod 121 tisíc.</w:t>
      </w:r>
    </w:p>
    <w:p w14:paraId="01423A51" w14:textId="77777777" w:rsidR="00C77D2D" w:rsidRDefault="00C77D2D" w:rsidP="00C77D2D">
      <w:pPr>
        <w:jc w:val="both"/>
      </w:pPr>
    </w:p>
    <w:p w14:paraId="64C3DD10" w14:textId="77777777" w:rsidR="00C77D2D" w:rsidRDefault="00C77D2D" w:rsidP="00C77D2D">
      <w:pPr>
        <w:jc w:val="both"/>
      </w:pPr>
      <w:r>
        <w:rPr>
          <w:i/>
          <w:iCs/>
        </w:rPr>
        <w:t xml:space="preserve">„Jak už bylo patrné začátkem léta, trh skutečně prochází znatelným ochlazením. Kvůli rostoucí inflaci a zejména z důvodu zvýšení nákladů na bydlení je citelná opatrnost kupujících. A to platí nejen pro koncové zákazníky, ale také investory. Předpokládáme, že tento vývoj bude letos ještě pokračovat. Pokles prodejů v závěru roku, který naše analýza poslední roky ukazuje, bude za současné situace pravděpodobně ještě výraznější,“ </w:t>
      </w:r>
      <w:r>
        <w:t>upozornil Lamka.</w:t>
      </w:r>
    </w:p>
    <w:p w14:paraId="2BB9A887" w14:textId="21034E27" w:rsidR="00C77D2D" w:rsidRDefault="00C77D2D" w:rsidP="00C77D2D">
      <w:pPr>
        <w:jc w:val="both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68A3FAD5" wp14:editId="2B1D2B40">
            <wp:extent cx="5759450" cy="2496820"/>
            <wp:effectExtent l="0" t="0" r="0" b="0"/>
            <wp:docPr id="1652750835" name="Obrázek 1" descr="Obsah obrázku text, snímek obrazovky, Písmo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750835" name="Obrázek 1" descr="Obsah obrázku text, snímek obrazovky, Písmo, Vykreslený graf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305A" w14:textId="77777777" w:rsidR="00AB3EE4" w:rsidRDefault="00AB3EE4" w:rsidP="00C77D2D">
      <w:pPr>
        <w:jc w:val="both"/>
        <w:rPr>
          <w:bCs/>
          <w:color w:val="3B3838" w:themeColor="background2" w:themeShade="40"/>
        </w:rPr>
      </w:pPr>
    </w:p>
    <w:p w14:paraId="069D9A88" w14:textId="072C99D1" w:rsidR="00C77D2D" w:rsidRDefault="00C77D2D" w:rsidP="00C77D2D">
      <w:pPr>
        <w:jc w:val="both"/>
      </w:pPr>
      <w:r>
        <w:t>Vývoj cen za metr čtvereční byl navíc oproti tomu, na co byl trh zvyklý, sestupný</w:t>
      </w:r>
      <w:r>
        <w:t xml:space="preserve"> </w:t>
      </w:r>
      <w:r>
        <w:br/>
      </w:r>
      <w:r>
        <w:t>i v průběhu kvartálu. Červencový průměr 127 581 Kč doplnil srpen s cenou 122 018 Kč. Nejvyšší propad za posledních několik let následně zaznamenalo září, kdy se prodaly byty v průměru jen za 112 983 Kč za metr čtvereční.</w:t>
      </w:r>
    </w:p>
    <w:p w14:paraId="26016926" w14:textId="77777777" w:rsidR="00C77D2D" w:rsidRDefault="00C77D2D" w:rsidP="00C77D2D">
      <w:pPr>
        <w:jc w:val="both"/>
      </w:pPr>
    </w:p>
    <w:p w14:paraId="5273EEBD" w14:textId="77777777" w:rsidR="00C77D2D" w:rsidRDefault="00C77D2D" w:rsidP="00C77D2D">
      <w:pPr>
        <w:jc w:val="both"/>
      </w:pPr>
    </w:p>
    <w:p w14:paraId="3EBCF2DD" w14:textId="761E0559" w:rsidR="00C77D2D" w:rsidRDefault="00C77D2D" w:rsidP="00C77D2D">
      <w:pPr>
        <w:jc w:val="both"/>
      </w:pPr>
      <w:r>
        <w:rPr>
          <w:noProof/>
        </w:rPr>
        <w:drawing>
          <wp:inline distT="0" distB="0" distL="0" distR="0" wp14:anchorId="6C35F853" wp14:editId="20EF5CEB">
            <wp:extent cx="5759450" cy="2428240"/>
            <wp:effectExtent l="0" t="0" r="0" b="0"/>
            <wp:docPr id="2001578656" name="Obrázek 2" descr="Obsah obrázku text, snímek obrazovky, řada/pruh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578656" name="Obrázek 2" descr="Obsah obrázku text, snímek obrazovky, řada/pruh, Paralel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F10B" w14:textId="2385A1A1" w:rsidR="00C77D2D" w:rsidRDefault="00C77D2D" w:rsidP="00C77D2D">
      <w:pPr>
        <w:jc w:val="both"/>
      </w:pPr>
      <w:r>
        <w:rPr>
          <w:noProof/>
        </w:rPr>
        <w:drawing>
          <wp:inline distT="0" distB="0" distL="0" distR="0" wp14:anchorId="4027EBA5" wp14:editId="69C4A009">
            <wp:extent cx="5414839" cy="2503244"/>
            <wp:effectExtent l="0" t="0" r="0" b="0"/>
            <wp:docPr id="1410642357" name="Obrázek 3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42357" name="Obrázek 3" descr="Obsah obrázku text, snímek obrazovky, Písmo, čís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24" cy="25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E226" w14:textId="77777777" w:rsidR="00C77D2D" w:rsidRDefault="00C77D2D" w:rsidP="00C77D2D">
      <w:pPr>
        <w:jc w:val="both"/>
      </w:pPr>
    </w:p>
    <w:p w14:paraId="673DFBDE" w14:textId="77777777" w:rsidR="00C77D2D" w:rsidRDefault="00C77D2D" w:rsidP="00C77D2D">
      <w:pPr>
        <w:jc w:val="both"/>
      </w:pPr>
    </w:p>
    <w:p w14:paraId="4FF450C9" w14:textId="77777777" w:rsidR="00C77D2D" w:rsidRPr="00C77D2D" w:rsidRDefault="00C77D2D" w:rsidP="00C77D2D">
      <w:pPr>
        <w:jc w:val="both"/>
        <w:rPr>
          <w:b/>
          <w:bCs/>
          <w:sz w:val="28"/>
          <w:szCs w:val="28"/>
        </w:rPr>
      </w:pPr>
      <w:r w:rsidRPr="00C77D2D">
        <w:rPr>
          <w:b/>
          <w:bCs/>
          <w:sz w:val="28"/>
          <w:szCs w:val="28"/>
        </w:rPr>
        <w:t>Prodeje v tradičních čtvrtích se zastavily</w:t>
      </w:r>
    </w:p>
    <w:p w14:paraId="65FF42AD" w14:textId="77777777" w:rsidR="00C77D2D" w:rsidRDefault="00C77D2D" w:rsidP="00C77D2D">
      <w:pPr>
        <w:jc w:val="both"/>
        <w:rPr>
          <w:b/>
          <w:bCs/>
        </w:rPr>
      </w:pPr>
    </w:p>
    <w:p w14:paraId="6ACC0064" w14:textId="5B5450C2" w:rsidR="00C77D2D" w:rsidRDefault="00C77D2D" w:rsidP="00C77D2D">
      <w:pPr>
        <w:jc w:val="both"/>
      </w:pPr>
      <w:r>
        <w:t>K začátku září bylo v nabídce brněnského trhu novostaveb 1 233 bytů. Nejvíce jednotek aktuálně stále najdeme ve vyhledávaných čtvrtích Zábrdovice a Královo Pole, které prodeje tradičně táhly, a také v Komíně. Prodeje za třetí kvartál jsou oproti tomu překvapením. Nejvíce jednotek našlo kupce v Bystrci, kde se prodalo 13 nových bytů,</w:t>
      </w:r>
      <w:r>
        <w:br/>
      </w:r>
      <w:r>
        <w:t>a také části Staré Brno. Samotné centrum moravské metropole, Veveří a část Brno-město naopak po silném druhém čtvrtletí nezaznamenaly prodeje žádné.</w:t>
      </w:r>
    </w:p>
    <w:p w14:paraId="69CBCE6A" w14:textId="77777777" w:rsidR="00C77D2D" w:rsidRDefault="00C77D2D" w:rsidP="00C77D2D">
      <w:pPr>
        <w:jc w:val="both"/>
      </w:pPr>
    </w:p>
    <w:p w14:paraId="79FEE198" w14:textId="77777777" w:rsidR="00C77D2D" w:rsidRDefault="00C77D2D" w:rsidP="00C77D2D">
      <w:pPr>
        <w:jc w:val="both"/>
      </w:pPr>
      <w:r>
        <w:rPr>
          <w:i/>
          <w:iCs/>
        </w:rPr>
        <w:t xml:space="preserve">„Bystrc zaujala také v poměru nabídka-poptávka. Z celkového počtu nabízených bytů se prodala hned třetina. Mezitím například v Zábrdovicích, které mají v nabídce 261 bytů, se prodaly pouhé čtyři. V neprospěch lukrativních lokalit, jako jsou právě Zábrdovice či Královo Pole, mluví pochopitelně nacenění tamních projektů. Při srovnání s nejdostupnější městskou částí Tuřany jde až o dvojnásobné ceny,“ </w:t>
      </w:r>
      <w:r>
        <w:t xml:space="preserve">dodává Lamka. </w:t>
      </w:r>
    </w:p>
    <w:p w14:paraId="42216DCC" w14:textId="77777777" w:rsidR="00C77D2D" w:rsidRDefault="00C77D2D" w:rsidP="00C77D2D">
      <w:pPr>
        <w:jc w:val="both"/>
      </w:pPr>
    </w:p>
    <w:p w14:paraId="177DF2F8" w14:textId="26A2981D" w:rsidR="00C77D2D" w:rsidRDefault="00C77D2D" w:rsidP="00C77D2D">
      <w:pPr>
        <w:jc w:val="both"/>
      </w:pPr>
      <w:r>
        <w:t>Nové byty v Brně – Tuřanech lze v průměru pořídit za částku mírně převyšující 70 tisíc za metr čtvereční. Jedná se o srovnatelnou cenovou hladinu, jaká aktuálně panuje ve Znojmě. Vyšší cenu za metr čtvereční pak mají projekty z dalších větších měst Jihomoravského kraje. Ve srovnání s předešlým čtvrtletím průměrná cena mírně vzrostla v</w:t>
      </w:r>
      <w:r>
        <w:t> </w:t>
      </w:r>
      <w:r>
        <w:t>Hodoníně</w:t>
      </w:r>
      <w:r>
        <w:br/>
      </w:r>
      <w:r>
        <w:t xml:space="preserve">a Vyškově. Vedle toho v Boskovicích a Adamově se nabídka ani ceny nezměnily. </w:t>
      </w:r>
    </w:p>
    <w:p w14:paraId="11323A67" w14:textId="7232C20A" w:rsidR="00C77D2D" w:rsidRDefault="00C77D2D" w:rsidP="00C77D2D">
      <w:pPr>
        <w:jc w:val="both"/>
      </w:pPr>
      <w:r>
        <w:rPr>
          <w:noProof/>
        </w:rPr>
        <w:drawing>
          <wp:inline distT="0" distB="0" distL="0" distR="0" wp14:anchorId="43494AEE" wp14:editId="53159229">
            <wp:extent cx="5759450" cy="3610610"/>
            <wp:effectExtent l="0" t="0" r="0" b="8890"/>
            <wp:docPr id="1105626326" name="Obrázek 4" descr="Obsah obrázku text, mapa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26326" name="Obrázek 4" descr="Obsah obrázku text, mapa,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6125" w14:textId="77777777" w:rsidR="00C77D2D" w:rsidRDefault="00C77D2D" w:rsidP="00C77D2D">
      <w:pPr>
        <w:jc w:val="both"/>
      </w:pPr>
    </w:p>
    <w:p w14:paraId="6AD441FD" w14:textId="77777777" w:rsidR="00C77D2D" w:rsidRDefault="00C77D2D" w:rsidP="00C77D2D">
      <w:pPr>
        <w:jc w:val="both"/>
        <w:rPr>
          <w:b/>
          <w:sz w:val="26"/>
          <w:szCs w:val="26"/>
        </w:rPr>
      </w:pPr>
    </w:p>
    <w:p w14:paraId="77DD8EF0" w14:textId="71A53AF8" w:rsidR="00C77D2D" w:rsidRDefault="00C77D2D" w:rsidP="00C77D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Zlevnily hlavně menší byty, nejvýrazněji 2+kk</w:t>
      </w:r>
    </w:p>
    <w:p w14:paraId="09C19436" w14:textId="77777777" w:rsidR="00C77D2D" w:rsidRDefault="00C77D2D" w:rsidP="00C77D2D">
      <w:pPr>
        <w:jc w:val="both"/>
      </w:pPr>
    </w:p>
    <w:p w14:paraId="625F9B61" w14:textId="39E06C3D" w:rsidR="00C77D2D" w:rsidRDefault="00C77D2D" w:rsidP="00C77D2D">
      <w:pPr>
        <w:jc w:val="both"/>
      </w:pPr>
      <w:r>
        <w:t>V rámci nízkých celkových prodejů byl opět největší zájem o dispozičně menší jednotky. Průměrná cena bytů 1+kk až 3+kk oproti předchozímu období navíc poklesla. Nejvýraznější propad ceny za metr čtvereční byl patrný u jednotek 2+kk. Ty mezikvartálně zlevnily o bezmála 11 500 Kč. Přestože se jich prodalo nejvíce, šlo stále o méně než polovinu prodejů předchozího období. Nejmenších jednotek 1+kk se mezi červencem</w:t>
      </w:r>
      <w:r>
        <w:br/>
      </w:r>
      <w:r>
        <w:t>a zářím neprodala ani třetina ze 77 realizovaných prodejů za druhý kvartál.</w:t>
      </w:r>
    </w:p>
    <w:p w14:paraId="477DDC01" w14:textId="3B113994" w:rsidR="00AB3EE4" w:rsidRPr="00AB3EE4" w:rsidRDefault="00AB3EE4" w:rsidP="00AB3EE4">
      <w:pPr>
        <w:jc w:val="both"/>
        <w:rPr>
          <w:szCs w:val="24"/>
        </w:rPr>
      </w:pPr>
    </w:p>
    <w:sectPr w:rsidR="00AB3EE4" w:rsidRPr="00AB3EE4" w:rsidSect="00650EBE">
      <w:headerReference w:type="default" r:id="rId12"/>
      <w:footerReference w:type="default" r:id="rId13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26BC" w14:textId="77777777" w:rsidR="0070392B" w:rsidRDefault="0070392B" w:rsidP="00FF7F2C">
      <w:pPr>
        <w:spacing w:line="240" w:lineRule="auto"/>
      </w:pPr>
      <w:r>
        <w:separator/>
      </w:r>
    </w:p>
  </w:endnote>
  <w:endnote w:type="continuationSeparator" w:id="0">
    <w:p w14:paraId="10026957" w14:textId="77777777" w:rsidR="0070392B" w:rsidRDefault="0070392B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erText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GillSansMTPro-Book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6A639F6C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6265B1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47901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790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D8DE" w14:textId="77777777" w:rsidR="0070392B" w:rsidRDefault="0070392B" w:rsidP="00FF7F2C">
      <w:pPr>
        <w:spacing w:line="240" w:lineRule="auto"/>
      </w:pPr>
      <w:r>
        <w:separator/>
      </w:r>
    </w:p>
  </w:footnote>
  <w:footnote w:type="continuationSeparator" w:id="0">
    <w:p w14:paraId="16ECAAC1" w14:textId="77777777" w:rsidR="0070392B" w:rsidRDefault="0070392B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6095BE6D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722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876">
    <w:abstractNumId w:val="1"/>
  </w:num>
  <w:num w:numId="2" w16cid:durableId="11647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5C6"/>
    <w:rsid w:val="00030A0F"/>
    <w:rsid w:val="00041778"/>
    <w:rsid w:val="00042EAF"/>
    <w:rsid w:val="000517EF"/>
    <w:rsid w:val="00051BF3"/>
    <w:rsid w:val="000552BF"/>
    <w:rsid w:val="00063625"/>
    <w:rsid w:val="000802DB"/>
    <w:rsid w:val="00081760"/>
    <w:rsid w:val="00090151"/>
    <w:rsid w:val="00090FC2"/>
    <w:rsid w:val="00093C69"/>
    <w:rsid w:val="000974E3"/>
    <w:rsid w:val="000A161B"/>
    <w:rsid w:val="000A2A3F"/>
    <w:rsid w:val="000A5ECB"/>
    <w:rsid w:val="000C47BD"/>
    <w:rsid w:val="000C7172"/>
    <w:rsid w:val="000D312C"/>
    <w:rsid w:val="000D3699"/>
    <w:rsid w:val="000D762C"/>
    <w:rsid w:val="000D7CD7"/>
    <w:rsid w:val="000E67BD"/>
    <w:rsid w:val="000F25A2"/>
    <w:rsid w:val="00100F1F"/>
    <w:rsid w:val="00112DDD"/>
    <w:rsid w:val="00117DC3"/>
    <w:rsid w:val="00125BF0"/>
    <w:rsid w:val="00136B3F"/>
    <w:rsid w:val="00137506"/>
    <w:rsid w:val="00174816"/>
    <w:rsid w:val="00196BF8"/>
    <w:rsid w:val="001A1CD1"/>
    <w:rsid w:val="001B5C9B"/>
    <w:rsid w:val="001C294D"/>
    <w:rsid w:val="001D1CFF"/>
    <w:rsid w:val="001D68C0"/>
    <w:rsid w:val="001E2E64"/>
    <w:rsid w:val="002037EF"/>
    <w:rsid w:val="00215346"/>
    <w:rsid w:val="00216FFF"/>
    <w:rsid w:val="00220734"/>
    <w:rsid w:val="002253EB"/>
    <w:rsid w:val="00226843"/>
    <w:rsid w:val="0023252E"/>
    <w:rsid w:val="00236CD0"/>
    <w:rsid w:val="00236EEB"/>
    <w:rsid w:val="0023703C"/>
    <w:rsid w:val="0024186D"/>
    <w:rsid w:val="002515A9"/>
    <w:rsid w:val="00252E04"/>
    <w:rsid w:val="0026383B"/>
    <w:rsid w:val="00263C67"/>
    <w:rsid w:val="00265B32"/>
    <w:rsid w:val="00281EE7"/>
    <w:rsid w:val="00284095"/>
    <w:rsid w:val="002A070A"/>
    <w:rsid w:val="002A2D0D"/>
    <w:rsid w:val="002A5AEF"/>
    <w:rsid w:val="002B1D7D"/>
    <w:rsid w:val="002C4DC3"/>
    <w:rsid w:val="002D252C"/>
    <w:rsid w:val="002E0CC4"/>
    <w:rsid w:val="002E4F8D"/>
    <w:rsid w:val="002E556E"/>
    <w:rsid w:val="002F27AC"/>
    <w:rsid w:val="002F46DA"/>
    <w:rsid w:val="00313B63"/>
    <w:rsid w:val="003158F8"/>
    <w:rsid w:val="00321109"/>
    <w:rsid w:val="0032503F"/>
    <w:rsid w:val="00333F51"/>
    <w:rsid w:val="00335436"/>
    <w:rsid w:val="003421B5"/>
    <w:rsid w:val="00344119"/>
    <w:rsid w:val="003501B1"/>
    <w:rsid w:val="003502AF"/>
    <w:rsid w:val="003564F1"/>
    <w:rsid w:val="00361D2D"/>
    <w:rsid w:val="0036294B"/>
    <w:rsid w:val="00384519"/>
    <w:rsid w:val="00384E89"/>
    <w:rsid w:val="00387C21"/>
    <w:rsid w:val="003912C6"/>
    <w:rsid w:val="003A3A60"/>
    <w:rsid w:val="003B41EB"/>
    <w:rsid w:val="003B56E9"/>
    <w:rsid w:val="003D016A"/>
    <w:rsid w:val="003D300F"/>
    <w:rsid w:val="003E1964"/>
    <w:rsid w:val="003E4E43"/>
    <w:rsid w:val="003F5A03"/>
    <w:rsid w:val="00404240"/>
    <w:rsid w:val="00417C32"/>
    <w:rsid w:val="0042580E"/>
    <w:rsid w:val="00431455"/>
    <w:rsid w:val="00433B6F"/>
    <w:rsid w:val="0044362E"/>
    <w:rsid w:val="00450609"/>
    <w:rsid w:val="00470263"/>
    <w:rsid w:val="00474EBA"/>
    <w:rsid w:val="00491A6E"/>
    <w:rsid w:val="0049233C"/>
    <w:rsid w:val="0049675E"/>
    <w:rsid w:val="004B0F41"/>
    <w:rsid w:val="004D3EE5"/>
    <w:rsid w:val="004D6FF7"/>
    <w:rsid w:val="004D78C5"/>
    <w:rsid w:val="004E18C3"/>
    <w:rsid w:val="004F1C11"/>
    <w:rsid w:val="005043C5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71486"/>
    <w:rsid w:val="005721BD"/>
    <w:rsid w:val="005726B5"/>
    <w:rsid w:val="00573A8E"/>
    <w:rsid w:val="005774AA"/>
    <w:rsid w:val="005842EC"/>
    <w:rsid w:val="005857C6"/>
    <w:rsid w:val="00586F83"/>
    <w:rsid w:val="005A353B"/>
    <w:rsid w:val="005A4F23"/>
    <w:rsid w:val="005B222D"/>
    <w:rsid w:val="005B3AB0"/>
    <w:rsid w:val="005B416B"/>
    <w:rsid w:val="005B6E19"/>
    <w:rsid w:val="005C4DE7"/>
    <w:rsid w:val="005E0A5A"/>
    <w:rsid w:val="005E36F7"/>
    <w:rsid w:val="005F1289"/>
    <w:rsid w:val="00610BFD"/>
    <w:rsid w:val="00623168"/>
    <w:rsid w:val="006265B1"/>
    <w:rsid w:val="0062660E"/>
    <w:rsid w:val="0063583B"/>
    <w:rsid w:val="00642798"/>
    <w:rsid w:val="00644099"/>
    <w:rsid w:val="00644A29"/>
    <w:rsid w:val="00647901"/>
    <w:rsid w:val="00650EBE"/>
    <w:rsid w:val="006570B0"/>
    <w:rsid w:val="00681AA3"/>
    <w:rsid w:val="0069165B"/>
    <w:rsid w:val="0069342D"/>
    <w:rsid w:val="006A649F"/>
    <w:rsid w:val="006A6C0F"/>
    <w:rsid w:val="006B48FF"/>
    <w:rsid w:val="006C67FE"/>
    <w:rsid w:val="006D7057"/>
    <w:rsid w:val="006E68D2"/>
    <w:rsid w:val="006F68A0"/>
    <w:rsid w:val="006F7FCA"/>
    <w:rsid w:val="00701665"/>
    <w:rsid w:val="0070392B"/>
    <w:rsid w:val="00704422"/>
    <w:rsid w:val="00707816"/>
    <w:rsid w:val="00722F2F"/>
    <w:rsid w:val="00723C8D"/>
    <w:rsid w:val="0073762F"/>
    <w:rsid w:val="00752232"/>
    <w:rsid w:val="00764A54"/>
    <w:rsid w:val="00765EDC"/>
    <w:rsid w:val="007757A7"/>
    <w:rsid w:val="00784A27"/>
    <w:rsid w:val="00795B20"/>
    <w:rsid w:val="0079652E"/>
    <w:rsid w:val="007A118A"/>
    <w:rsid w:val="007A3DFC"/>
    <w:rsid w:val="007B5B5F"/>
    <w:rsid w:val="007B7A6B"/>
    <w:rsid w:val="007C1863"/>
    <w:rsid w:val="007C1FB8"/>
    <w:rsid w:val="007C5A55"/>
    <w:rsid w:val="007C7B14"/>
    <w:rsid w:val="007D602A"/>
    <w:rsid w:val="007D6A80"/>
    <w:rsid w:val="007E011F"/>
    <w:rsid w:val="007E2194"/>
    <w:rsid w:val="007E5AC8"/>
    <w:rsid w:val="007F271D"/>
    <w:rsid w:val="008054AB"/>
    <w:rsid w:val="00807EAE"/>
    <w:rsid w:val="00823384"/>
    <w:rsid w:val="00830F9B"/>
    <w:rsid w:val="00837AE2"/>
    <w:rsid w:val="0084307B"/>
    <w:rsid w:val="008522B4"/>
    <w:rsid w:val="00852C42"/>
    <w:rsid w:val="0085461C"/>
    <w:rsid w:val="008569F3"/>
    <w:rsid w:val="00881668"/>
    <w:rsid w:val="00897007"/>
    <w:rsid w:val="008D675D"/>
    <w:rsid w:val="008E23D8"/>
    <w:rsid w:val="008F4DE2"/>
    <w:rsid w:val="00902359"/>
    <w:rsid w:val="00904773"/>
    <w:rsid w:val="00912C86"/>
    <w:rsid w:val="00913ED8"/>
    <w:rsid w:val="0092194B"/>
    <w:rsid w:val="00926A1C"/>
    <w:rsid w:val="009325CD"/>
    <w:rsid w:val="009346CC"/>
    <w:rsid w:val="00947865"/>
    <w:rsid w:val="00951F1B"/>
    <w:rsid w:val="0095361D"/>
    <w:rsid w:val="009563F9"/>
    <w:rsid w:val="00967D0A"/>
    <w:rsid w:val="00971DD8"/>
    <w:rsid w:val="00972DBB"/>
    <w:rsid w:val="00990AC8"/>
    <w:rsid w:val="009A141B"/>
    <w:rsid w:val="009A297E"/>
    <w:rsid w:val="009A4F9A"/>
    <w:rsid w:val="009B0639"/>
    <w:rsid w:val="009B63E4"/>
    <w:rsid w:val="009C0E8B"/>
    <w:rsid w:val="009D3201"/>
    <w:rsid w:val="009D61F6"/>
    <w:rsid w:val="009D765F"/>
    <w:rsid w:val="009E143E"/>
    <w:rsid w:val="009E173E"/>
    <w:rsid w:val="009E2C21"/>
    <w:rsid w:val="00A006C4"/>
    <w:rsid w:val="00A06D29"/>
    <w:rsid w:val="00A215BA"/>
    <w:rsid w:val="00A25A2F"/>
    <w:rsid w:val="00A35E67"/>
    <w:rsid w:val="00A3709A"/>
    <w:rsid w:val="00A42394"/>
    <w:rsid w:val="00A4288D"/>
    <w:rsid w:val="00A505C1"/>
    <w:rsid w:val="00A50B04"/>
    <w:rsid w:val="00A53A70"/>
    <w:rsid w:val="00A643A0"/>
    <w:rsid w:val="00A73D8D"/>
    <w:rsid w:val="00A76F2E"/>
    <w:rsid w:val="00A9413F"/>
    <w:rsid w:val="00AB2E95"/>
    <w:rsid w:val="00AB3EE4"/>
    <w:rsid w:val="00AB3F03"/>
    <w:rsid w:val="00AB7C7B"/>
    <w:rsid w:val="00AD060E"/>
    <w:rsid w:val="00AD35B7"/>
    <w:rsid w:val="00AD4A78"/>
    <w:rsid w:val="00AD5CBA"/>
    <w:rsid w:val="00AD7932"/>
    <w:rsid w:val="00AE167A"/>
    <w:rsid w:val="00AE309D"/>
    <w:rsid w:val="00AF7C4A"/>
    <w:rsid w:val="00B176BB"/>
    <w:rsid w:val="00B3561E"/>
    <w:rsid w:val="00B36900"/>
    <w:rsid w:val="00B4613F"/>
    <w:rsid w:val="00B509C4"/>
    <w:rsid w:val="00B54944"/>
    <w:rsid w:val="00B618EA"/>
    <w:rsid w:val="00B721C3"/>
    <w:rsid w:val="00B82F56"/>
    <w:rsid w:val="00B86A40"/>
    <w:rsid w:val="00B90754"/>
    <w:rsid w:val="00B94975"/>
    <w:rsid w:val="00BA03D6"/>
    <w:rsid w:val="00BA3328"/>
    <w:rsid w:val="00BA7E38"/>
    <w:rsid w:val="00BB1ED7"/>
    <w:rsid w:val="00BC184D"/>
    <w:rsid w:val="00BC6A3E"/>
    <w:rsid w:val="00BC7DE2"/>
    <w:rsid w:val="00BD2E9A"/>
    <w:rsid w:val="00BE5895"/>
    <w:rsid w:val="00BF268D"/>
    <w:rsid w:val="00BF4993"/>
    <w:rsid w:val="00C062FF"/>
    <w:rsid w:val="00C06E67"/>
    <w:rsid w:val="00C16173"/>
    <w:rsid w:val="00C25058"/>
    <w:rsid w:val="00C26CF9"/>
    <w:rsid w:val="00C2713B"/>
    <w:rsid w:val="00C314DC"/>
    <w:rsid w:val="00C424D2"/>
    <w:rsid w:val="00C44977"/>
    <w:rsid w:val="00C605C0"/>
    <w:rsid w:val="00C625A0"/>
    <w:rsid w:val="00C625C3"/>
    <w:rsid w:val="00C634A3"/>
    <w:rsid w:val="00C672DF"/>
    <w:rsid w:val="00C77D2D"/>
    <w:rsid w:val="00C81386"/>
    <w:rsid w:val="00C82945"/>
    <w:rsid w:val="00C845BB"/>
    <w:rsid w:val="00C937B8"/>
    <w:rsid w:val="00C94CB3"/>
    <w:rsid w:val="00CA6FB8"/>
    <w:rsid w:val="00CB0D72"/>
    <w:rsid w:val="00CD77E3"/>
    <w:rsid w:val="00CE3DF8"/>
    <w:rsid w:val="00CE55CE"/>
    <w:rsid w:val="00CE7C69"/>
    <w:rsid w:val="00CE7D3F"/>
    <w:rsid w:val="00CF19C7"/>
    <w:rsid w:val="00D1042B"/>
    <w:rsid w:val="00D22D33"/>
    <w:rsid w:val="00D30D9C"/>
    <w:rsid w:val="00D3253C"/>
    <w:rsid w:val="00D35280"/>
    <w:rsid w:val="00D41342"/>
    <w:rsid w:val="00D45128"/>
    <w:rsid w:val="00D514C7"/>
    <w:rsid w:val="00D534B5"/>
    <w:rsid w:val="00D55B9D"/>
    <w:rsid w:val="00D677A7"/>
    <w:rsid w:val="00D70B0F"/>
    <w:rsid w:val="00D75B18"/>
    <w:rsid w:val="00D94702"/>
    <w:rsid w:val="00D94BC4"/>
    <w:rsid w:val="00D95921"/>
    <w:rsid w:val="00DA555E"/>
    <w:rsid w:val="00DB03BF"/>
    <w:rsid w:val="00DB4051"/>
    <w:rsid w:val="00DB5BE8"/>
    <w:rsid w:val="00DC0A05"/>
    <w:rsid w:val="00DE08D3"/>
    <w:rsid w:val="00DE5835"/>
    <w:rsid w:val="00DE7C88"/>
    <w:rsid w:val="00DF42D9"/>
    <w:rsid w:val="00E16528"/>
    <w:rsid w:val="00E23F15"/>
    <w:rsid w:val="00E2693A"/>
    <w:rsid w:val="00E312B4"/>
    <w:rsid w:val="00E36BA6"/>
    <w:rsid w:val="00E61331"/>
    <w:rsid w:val="00E7617E"/>
    <w:rsid w:val="00E806A2"/>
    <w:rsid w:val="00E84DC6"/>
    <w:rsid w:val="00E94029"/>
    <w:rsid w:val="00EA3464"/>
    <w:rsid w:val="00EB2665"/>
    <w:rsid w:val="00EC04AB"/>
    <w:rsid w:val="00ED0722"/>
    <w:rsid w:val="00EF26B5"/>
    <w:rsid w:val="00F028EF"/>
    <w:rsid w:val="00F34009"/>
    <w:rsid w:val="00F5250D"/>
    <w:rsid w:val="00F60257"/>
    <w:rsid w:val="00F62D40"/>
    <w:rsid w:val="00F66058"/>
    <w:rsid w:val="00F82DD6"/>
    <w:rsid w:val="00F965D4"/>
    <w:rsid w:val="00F97185"/>
    <w:rsid w:val="00FA700F"/>
    <w:rsid w:val="00FB4521"/>
    <w:rsid w:val="00FC54F2"/>
    <w:rsid w:val="00FC59D2"/>
    <w:rsid w:val="00FC7066"/>
    <w:rsid w:val="00FC792D"/>
    <w:rsid w:val="00FD11F0"/>
    <w:rsid w:val="00FE59BC"/>
    <w:rsid w:val="00FE7F59"/>
    <w:rsid w:val="00FF35E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8D3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3E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3EB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94702"/>
    <w:rPr>
      <w:color w:val="605E5C"/>
      <w:shd w:val="clear" w:color="auto" w:fill="E1DFDD"/>
    </w:rPr>
  </w:style>
  <w:style w:type="paragraph" w:customStyle="1" w:styleId="body">
    <w:name w:val="body"/>
    <w:basedOn w:val="Normln"/>
    <w:uiPriority w:val="99"/>
    <w:rsid w:val="00AB3EE4"/>
    <w:pPr>
      <w:autoSpaceDE w:val="0"/>
      <w:autoSpaceDN w:val="0"/>
      <w:adjustRightInd w:val="0"/>
      <w:spacing w:after="113" w:line="240" w:lineRule="atLeast"/>
      <w:textAlignment w:val="center"/>
    </w:pPr>
    <w:rPr>
      <w:rFonts w:ascii="BlackerText-Book" w:hAnsi="BlackerText-Book" w:cs="BlackerText-Book"/>
      <w:color w:val="000000"/>
      <w:sz w:val="17"/>
      <w:szCs w:val="17"/>
    </w:rPr>
  </w:style>
  <w:style w:type="paragraph" w:customStyle="1" w:styleId="h2">
    <w:name w:val="h2"/>
    <w:basedOn w:val="Normln"/>
    <w:uiPriority w:val="99"/>
    <w:rsid w:val="00AB3EE4"/>
    <w:pPr>
      <w:autoSpaceDE w:val="0"/>
      <w:autoSpaceDN w:val="0"/>
      <w:adjustRightInd w:val="0"/>
      <w:spacing w:after="113" w:line="240" w:lineRule="atLeast"/>
      <w:textAlignment w:val="center"/>
    </w:pPr>
    <w:rPr>
      <w:rFonts w:ascii="GillSansMTPro-Book" w:hAnsi="GillSansMTPro-Book" w:cs="GillSansMTPro-Book"/>
      <w:color w:val="EA0016"/>
      <w:spacing w:val="6"/>
    </w:rPr>
  </w:style>
  <w:style w:type="character" w:customStyle="1" w:styleId="CharacterStyle1">
    <w:name w:val="Character Style 1"/>
    <w:uiPriority w:val="99"/>
    <w:rsid w:val="00AB3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DB241B-802A-4FC7-BD14-E5AABB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584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24</cp:revision>
  <cp:lastPrinted>2023-04-04T10:35:00Z</cp:lastPrinted>
  <dcterms:created xsi:type="dcterms:W3CDTF">2023-03-31T14:03:00Z</dcterms:created>
  <dcterms:modified xsi:type="dcterms:W3CDTF">2023-05-23T13:52:00Z</dcterms:modified>
</cp:coreProperties>
</file>