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F009F" w14:textId="4DF56F2D" w:rsidR="00A76F2E" w:rsidRPr="009A297E" w:rsidRDefault="00ED0722" w:rsidP="00D45128">
      <w:pPr>
        <w:jc w:val="right"/>
        <w:rPr>
          <w:sz w:val="18"/>
        </w:rPr>
      </w:pPr>
      <w:r>
        <w:rPr>
          <w:sz w:val="18"/>
        </w:rPr>
        <w:t xml:space="preserve">Datum: </w:t>
      </w:r>
      <w:r w:rsidR="002F7ED5">
        <w:rPr>
          <w:sz w:val="18"/>
        </w:rPr>
        <w:t>9</w:t>
      </w:r>
      <w:r>
        <w:rPr>
          <w:sz w:val="18"/>
        </w:rPr>
        <w:t xml:space="preserve">. </w:t>
      </w:r>
      <w:r w:rsidR="00D62847">
        <w:rPr>
          <w:sz w:val="18"/>
        </w:rPr>
        <w:t>7</w:t>
      </w:r>
      <w:r>
        <w:rPr>
          <w:sz w:val="18"/>
        </w:rPr>
        <w:t>. 202</w:t>
      </w:r>
      <w:r w:rsidR="00D233B7">
        <w:rPr>
          <w:sz w:val="18"/>
        </w:rPr>
        <w:t>4</w:t>
      </w:r>
    </w:p>
    <w:p w14:paraId="64E7CC2B" w14:textId="77777777" w:rsidR="009A297E" w:rsidRPr="00B94975" w:rsidRDefault="009A297E" w:rsidP="00D45128">
      <w:pPr>
        <w:jc w:val="both"/>
      </w:pPr>
    </w:p>
    <w:p w14:paraId="179ABF22" w14:textId="68D26C20" w:rsidR="00D62847" w:rsidRPr="00A215BA" w:rsidRDefault="00D62847" w:rsidP="00D62847">
      <w:pPr>
        <w:jc w:val="both"/>
        <w:rPr>
          <w:b/>
          <w:sz w:val="30"/>
          <w:szCs w:val="30"/>
        </w:rPr>
      </w:pPr>
      <w:r w:rsidRPr="002413DE">
        <w:rPr>
          <w:b/>
          <w:sz w:val="30"/>
          <w:szCs w:val="30"/>
        </w:rPr>
        <w:t>Ceny brněnských bytů pokořily historické maximum.</w:t>
      </w:r>
      <w:r>
        <w:rPr>
          <w:b/>
          <w:sz w:val="30"/>
          <w:szCs w:val="30"/>
        </w:rPr>
        <w:t xml:space="preserve"> </w:t>
      </w:r>
      <w:r w:rsidRPr="002413DE">
        <w:rPr>
          <w:b/>
          <w:sz w:val="30"/>
          <w:szCs w:val="30"/>
        </w:rPr>
        <w:t>Ženou je vzhůru levnější hypotéky a důvěra v budoucnost</w:t>
      </w:r>
    </w:p>
    <w:p w14:paraId="3856D774" w14:textId="77777777" w:rsidR="00D514C7" w:rsidRPr="00B94975" w:rsidRDefault="00D514C7" w:rsidP="00971DD8">
      <w:pPr>
        <w:rPr>
          <w:b/>
          <w:color w:val="3B3838" w:themeColor="background2" w:themeShade="40"/>
        </w:rPr>
      </w:pPr>
    </w:p>
    <w:p w14:paraId="7BD9E289" w14:textId="441DBD89" w:rsidR="00DD3B1F" w:rsidRDefault="00AE309D" w:rsidP="0049233C">
      <w:pPr>
        <w:jc w:val="both"/>
        <w:rPr>
          <w:b/>
          <w:color w:val="000000" w:themeColor="text1"/>
        </w:rPr>
      </w:pPr>
      <w:r w:rsidRPr="005C4DE7">
        <w:rPr>
          <w:b/>
          <w:color w:val="000000" w:themeColor="text1"/>
        </w:rPr>
        <w:t>Brno –</w:t>
      </w:r>
      <w:r w:rsidR="004A0637">
        <w:rPr>
          <w:b/>
          <w:color w:val="000000" w:themeColor="text1"/>
        </w:rPr>
        <w:t xml:space="preserve"> </w:t>
      </w:r>
      <w:r w:rsidR="00D62847">
        <w:rPr>
          <w:b/>
          <w:color w:val="000000" w:themeColor="text1"/>
        </w:rPr>
        <w:t xml:space="preserve">Průměrná nabídková cena brněnských novostaveb přesáhla v druhém čtvrtletí </w:t>
      </w:r>
      <w:r w:rsidR="00D62847" w:rsidRPr="002413DE">
        <w:rPr>
          <w:b/>
          <w:color w:val="000000" w:themeColor="text1"/>
        </w:rPr>
        <w:t xml:space="preserve">roku 2024 úroveň 129 400 </w:t>
      </w:r>
      <w:r w:rsidR="00D62847">
        <w:rPr>
          <w:b/>
          <w:color w:val="000000" w:themeColor="text1"/>
        </w:rPr>
        <w:t>Kč</w:t>
      </w:r>
      <w:r w:rsidR="00D62847" w:rsidRPr="002413DE">
        <w:rPr>
          <w:b/>
          <w:color w:val="000000" w:themeColor="text1"/>
        </w:rPr>
        <w:t xml:space="preserve"> za metr čtvereční a pokořila tak dosavadní rekord z roku 2022.</w:t>
      </w:r>
      <w:r w:rsidR="00D62847">
        <w:rPr>
          <w:b/>
          <w:color w:val="000000" w:themeColor="text1"/>
        </w:rPr>
        <w:t xml:space="preserve"> Prudce vzrostla i poptávka. Jak ukazují data společnosti Trikaya, oproti prvním třem měsícům letošního roku se ve druhém kvartálu prodalo o polovinu více nových bytů. V meziročním srovnání se jedná dokonce o rekordní nárůst o 254 %.</w:t>
      </w:r>
    </w:p>
    <w:p w14:paraId="0E65E1FD" w14:textId="77777777" w:rsidR="00D62847" w:rsidRDefault="00D62847" w:rsidP="00C66067">
      <w:pPr>
        <w:jc w:val="both"/>
        <w:rPr>
          <w:b/>
          <w:color w:val="3B3838" w:themeColor="background2" w:themeShade="40"/>
        </w:rPr>
      </w:pPr>
    </w:p>
    <w:p w14:paraId="5499A2A0" w14:textId="3B5EE8FF" w:rsidR="00D62847" w:rsidRDefault="00D62847" w:rsidP="00C66067">
      <w:pPr>
        <w:jc w:val="both"/>
        <w:rPr>
          <w:bCs/>
          <w:color w:val="3B3838" w:themeColor="background2" w:themeShade="40"/>
        </w:rPr>
      </w:pPr>
      <w:r w:rsidRPr="00D62847">
        <w:rPr>
          <w:bCs/>
          <w:i/>
          <w:iCs/>
          <w:color w:val="3B3838" w:themeColor="background2" w:themeShade="40"/>
        </w:rPr>
        <w:t>„Ceny bytů vždycky následují poptávku po bydlení a dostupnost hypoték. Nejinak je tomu už po tři čtvrtletí v řadě. Nízká inflace stlačila hypoteční sazby a uvolnění úvěrových podmínek ze strany České národní banky umožňuje, aby od závěru loňského roku dosáhlo na financování bydlení více lidí. Oba faktory jsou hnacím motorem cenového růstu bytů, i když zatím jen pozvolného,“</w:t>
      </w:r>
      <w:r w:rsidRPr="00D62847">
        <w:rPr>
          <w:bCs/>
          <w:color w:val="3B3838" w:themeColor="background2" w:themeShade="40"/>
        </w:rPr>
        <w:t xml:space="preserve"> sdělil Dalibor Lamka, výkonný ředitel a předseda představenstva společnosti Trikaya.</w:t>
      </w:r>
    </w:p>
    <w:p w14:paraId="5750F812" w14:textId="5F76BCE2" w:rsidR="00FF5E3D" w:rsidRDefault="00FF5E3D" w:rsidP="00C66067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69390237" wp14:editId="223F546C">
            <wp:extent cx="5759450" cy="2611120"/>
            <wp:effectExtent l="0" t="0" r="0" b="0"/>
            <wp:docPr id="162779797" name="Obrázek 1" descr="Obsah obrázku text, diagram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79797" name="Obrázek 1" descr="Obsah obrázku text, diagram, Písmo, snímek obrazovky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BE2E3" w14:textId="5CD9CA59" w:rsidR="00FE01B2" w:rsidRDefault="00D62847" w:rsidP="00FE01B2">
      <w:pPr>
        <w:spacing w:after="160"/>
        <w:jc w:val="both"/>
        <w:rPr>
          <w:bCs/>
          <w:color w:val="3B3838" w:themeColor="background2" w:themeShade="40"/>
        </w:rPr>
      </w:pPr>
      <w:r w:rsidRPr="00D62847">
        <w:rPr>
          <w:bCs/>
          <w:color w:val="3B3838" w:themeColor="background2" w:themeShade="40"/>
        </w:rPr>
        <w:t xml:space="preserve">Nové prodeje trhaly ve druhém kvartálu rekordy. Od dubna do června se v Brně prodalo 372 novostaveb, tedy téměř trojnásobek toho, co ve stejném období vloni. Jedná se tak o největší meziroční nárůst za posledních deset let. </w:t>
      </w:r>
      <w:r w:rsidR="0043778B" w:rsidRPr="0043778B">
        <w:rPr>
          <w:bCs/>
          <w:color w:val="3B3838" w:themeColor="background2" w:themeShade="40"/>
        </w:rPr>
        <w:t>Oproti prvnímu čtvrtletí, kdy své kupce našlo 246 bytů v novostavbách, vzrostly mezikvartálně prodeje o 51 %.</w:t>
      </w:r>
      <w:r w:rsidR="0043778B">
        <w:rPr>
          <w:bCs/>
          <w:color w:val="3B3838" w:themeColor="background2" w:themeShade="40"/>
        </w:rPr>
        <w:t xml:space="preserve"> </w:t>
      </w:r>
      <w:r w:rsidRPr="00D62847">
        <w:rPr>
          <w:bCs/>
          <w:color w:val="3B3838" w:themeColor="background2" w:themeShade="40"/>
        </w:rPr>
        <w:t xml:space="preserve">Vrací se poptávkový trend, který jsme mohli naposledy sledovat před vypuknutím války na Ukrajině, tedy v prvním čtvrtletí 2022. </w:t>
      </w:r>
    </w:p>
    <w:p w14:paraId="0EFD7199" w14:textId="5F9474B7" w:rsidR="00916B3D" w:rsidRPr="0091078A" w:rsidRDefault="00916B3D" w:rsidP="00916B3D">
      <w:pPr>
        <w:pStyle w:val="Nadpis2"/>
        <w:rPr>
          <w:rStyle w:val="Nadpis2Char"/>
        </w:rPr>
      </w:pPr>
      <w:r>
        <w:lastRenderedPageBreak/>
        <w:t>Prodalo se nejvíce bytů za poslední tři roky</w:t>
      </w:r>
    </w:p>
    <w:p w14:paraId="746E80FC" w14:textId="33F5624C" w:rsidR="00FE01B2" w:rsidRDefault="00FE01B2" w:rsidP="00FE01B2">
      <w:pPr>
        <w:spacing w:after="160"/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br/>
      </w:r>
      <w:r w:rsidR="00D62847" w:rsidRPr="00D62847">
        <w:rPr>
          <w:bCs/>
          <w:i/>
          <w:iCs/>
          <w:color w:val="3B3838" w:themeColor="background2" w:themeShade="40"/>
        </w:rPr>
        <w:t>„Tři sta sedmdesát dva prodaných bytů za jediné čtvrtletí není výrazný nadprůměr pouze v kontextu posledních dvou let. Od roku 2013, od kterého analýzy trhu pravidelně vydáváme, se v Brně více novostaveb prodalo jen ve dvou případech – ve druhém čtvrtletí 2016 a poté o pět let později ve druhém čtvrtletí 2021,“</w:t>
      </w:r>
      <w:r w:rsidR="00D62847" w:rsidRPr="00D62847">
        <w:rPr>
          <w:bCs/>
          <w:color w:val="3B3838" w:themeColor="background2" w:themeShade="40"/>
        </w:rPr>
        <w:t xml:space="preserve"> popisuje Lamka. </w:t>
      </w:r>
    </w:p>
    <w:p w14:paraId="0C702E26" w14:textId="5DE6A5AB" w:rsidR="00D62847" w:rsidRPr="00FE01B2" w:rsidRDefault="00D62847" w:rsidP="00FE01B2">
      <w:pPr>
        <w:spacing w:after="160"/>
        <w:jc w:val="both"/>
        <w:rPr>
          <w:bCs/>
          <w:color w:val="3B3838" w:themeColor="background2" w:themeShade="40"/>
        </w:rPr>
      </w:pPr>
      <w:r w:rsidRPr="00D62847">
        <w:rPr>
          <w:bCs/>
          <w:color w:val="3B3838" w:themeColor="background2" w:themeShade="40"/>
        </w:rPr>
        <w:t xml:space="preserve">S poklesem cen největších položek v nákupním koši obyvatel České republiky, energií a základních potravin, se do ekonomiky navrací spotřebitelská důvěra a do segmentu individuálního bydlení obnovená chuť pořídit si bydlení vlastní.  V tomto se Češi vymykají zbytku Evropy. Paradoxně tomu nahrávají i ceny nájemního bydlení, které zatím nezareagovaly na větší dostupnost hypoték, zůstávají relativně vysoké a podporují motivaci lidí vynakládat stejnou měsíční částku raději na vlastní než na nájemní byt. </w:t>
      </w:r>
    </w:p>
    <w:p w14:paraId="46A710DE" w14:textId="77777777" w:rsidR="00D62847" w:rsidRPr="00D62847" w:rsidRDefault="00D62847" w:rsidP="00D62847">
      <w:pPr>
        <w:spacing w:after="160"/>
        <w:rPr>
          <w:bCs/>
          <w:color w:val="3B3838" w:themeColor="background2" w:themeShade="40"/>
        </w:rPr>
      </w:pPr>
    </w:p>
    <w:p w14:paraId="10A9A19B" w14:textId="12ECD542" w:rsidR="00D62847" w:rsidRPr="000B32A6" w:rsidRDefault="00D62847" w:rsidP="000B32A6">
      <w:pPr>
        <w:pStyle w:val="Nadpis2"/>
      </w:pPr>
      <w:r w:rsidRPr="000B32A6">
        <w:t>Ceny novostaveb v Brně opatrně rostou</w:t>
      </w:r>
    </w:p>
    <w:p w14:paraId="6BC65943" w14:textId="77777777" w:rsidR="00D62847" w:rsidRPr="00FE01B2" w:rsidRDefault="00D62847" w:rsidP="00D62847">
      <w:pPr>
        <w:jc w:val="both"/>
        <w:rPr>
          <w:bCs/>
          <w:color w:val="3B3838" w:themeColor="background2" w:themeShade="40"/>
        </w:rPr>
      </w:pPr>
    </w:p>
    <w:p w14:paraId="1072DCCF" w14:textId="12938F0E" w:rsidR="00D62847" w:rsidRDefault="00D62847" w:rsidP="00FE01B2">
      <w:pPr>
        <w:spacing w:after="160"/>
        <w:jc w:val="both"/>
        <w:rPr>
          <w:bCs/>
          <w:color w:val="3B3838" w:themeColor="background2" w:themeShade="40"/>
        </w:rPr>
      </w:pPr>
      <w:r w:rsidRPr="00D62847">
        <w:rPr>
          <w:bCs/>
          <w:color w:val="3B3838" w:themeColor="background2" w:themeShade="40"/>
        </w:rPr>
        <w:t xml:space="preserve">Rostoucí prodeje vytvářejí tlak také na nabídkovou cenu. V letošním druhém čtvrtletí se metr čtvereční v Brně dostal v průměru na 129 400 Kč, což je o zhruba čtyři tisíce více než v posledním loňském čtvrtletí. Hodnota odpovídá průměru za celé tři měsíce, ve skutečnosti byl nárůst cen ještě o něco větší – v červnu se totiž průměrná cena volných bytů vyšplhala z květnových 129 000 Kč až na 131 700 Kč za metr čtvereční. </w:t>
      </w:r>
    </w:p>
    <w:p w14:paraId="4457C653" w14:textId="66EBBEF1" w:rsidR="00FE01B2" w:rsidRPr="00D62847" w:rsidRDefault="00FE01B2" w:rsidP="00D62847">
      <w:pPr>
        <w:spacing w:after="160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7D090015" wp14:editId="3D207BEF">
            <wp:extent cx="5759450" cy="2285365"/>
            <wp:effectExtent l="0" t="0" r="0" b="635"/>
            <wp:docPr id="402816246" name="Obrázek 2" descr="Obsah obrázku text, Písmo, snímek obrazovky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816246" name="Obrázek 2" descr="Obsah obrázku text, Písmo, snímek obrazovky, řada/pruh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F24F" w14:textId="5AA018D1" w:rsidR="00D62847" w:rsidRPr="00D62847" w:rsidRDefault="00D62847" w:rsidP="00FE01B2">
      <w:pPr>
        <w:spacing w:after="160"/>
        <w:jc w:val="both"/>
        <w:rPr>
          <w:bCs/>
          <w:color w:val="3B3838" w:themeColor="background2" w:themeShade="40"/>
        </w:rPr>
      </w:pPr>
      <w:r w:rsidRPr="00D62847">
        <w:rPr>
          <w:bCs/>
          <w:color w:val="3B3838" w:themeColor="background2" w:themeShade="40"/>
        </w:rPr>
        <w:t>Prodejní cena poměrně těsně kopírovala tu nabídkovou a zůstala ve druhém čtvrtletí na úrovni 127 500 Kč za metr čtvereční, nejvýše za poslední rok. Růst prodejů trvá už třetí čtvrtletí v řadě a dává tušit, že postupné navyšování cen bytů se hned tak nezastaví. Podporuje to i další pokles základní úrokové sazby, kterou bankovní rada České národní banky na konci června snížila o půl procentního bodu na 4,75 procenta. Sazba je tak nejnižší od počátku dubna 2022.</w:t>
      </w:r>
    </w:p>
    <w:p w14:paraId="512B74AB" w14:textId="111DB75E" w:rsidR="00FE01B2" w:rsidRDefault="00D62847" w:rsidP="00FE01B2">
      <w:pPr>
        <w:spacing w:after="160"/>
        <w:jc w:val="both"/>
        <w:rPr>
          <w:bCs/>
          <w:color w:val="3B3838" w:themeColor="background2" w:themeShade="40"/>
        </w:rPr>
      </w:pPr>
      <w:r w:rsidRPr="00D62847">
        <w:rPr>
          <w:bCs/>
          <w:i/>
          <w:iCs/>
          <w:color w:val="3B3838" w:themeColor="background2" w:themeShade="40"/>
        </w:rPr>
        <w:t xml:space="preserve">„Zatím se s cenami neděje nic dramatického, co by mělo varovat před nějakou nepřirozenou bublinou. Jejich pozvolný pohyb je zcela vysvětlitelný makroekonomickými okolnostmi. </w:t>
      </w:r>
      <w:proofErr w:type="spellStart"/>
      <w:r w:rsidRPr="00D62847">
        <w:rPr>
          <w:bCs/>
          <w:i/>
          <w:iCs/>
          <w:color w:val="3B3838" w:themeColor="background2" w:themeShade="40"/>
        </w:rPr>
        <w:t>Nízkoinflační</w:t>
      </w:r>
      <w:proofErr w:type="spellEnd"/>
      <w:r w:rsidRPr="00D62847">
        <w:rPr>
          <w:bCs/>
          <w:i/>
          <w:iCs/>
          <w:color w:val="3B3838" w:themeColor="background2" w:themeShade="40"/>
        </w:rPr>
        <w:t xml:space="preserve"> prostředí startuje novou vlnu zájmu o vlastní bydlení. Na zvýšené prodeje však reaguje nabídková i prodejní cena a v tuto chvíli bych spíše čekal její další růst,“</w:t>
      </w:r>
      <w:r w:rsidRPr="00D62847">
        <w:rPr>
          <w:bCs/>
          <w:color w:val="3B3838" w:themeColor="background2" w:themeShade="40"/>
        </w:rPr>
        <w:t xml:space="preserve"> upřesňuje Lamka.</w:t>
      </w:r>
      <w:r w:rsidR="00FE01B2" w:rsidRPr="00FE01B2">
        <w:rPr>
          <w:bCs/>
          <w:noProof/>
          <w:color w:val="3B3838" w:themeColor="background2" w:themeShade="40"/>
        </w:rPr>
        <w:t xml:space="preserve"> </w:t>
      </w:r>
      <w:r w:rsidR="00FE01B2">
        <w:rPr>
          <w:bCs/>
          <w:noProof/>
          <w:color w:val="3B3838" w:themeColor="background2" w:themeShade="40"/>
        </w:rPr>
        <w:drawing>
          <wp:inline distT="0" distB="0" distL="0" distR="0" wp14:anchorId="5370FAEB" wp14:editId="2A348D61">
            <wp:extent cx="5759450" cy="2834640"/>
            <wp:effectExtent l="0" t="0" r="0" b="3810"/>
            <wp:docPr id="1652921365" name="Obrázek 3" descr="Obsah obrázku text, snímek obrazovky, Písmo, Vykreslený graf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21365" name="Obrázek 3" descr="Obsah obrázku text, snímek obrazovky, Písmo, Vykreslený graf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93CB8" w14:textId="65498977" w:rsidR="00D62847" w:rsidRDefault="00D62847" w:rsidP="00FE01B2">
      <w:pPr>
        <w:spacing w:after="160"/>
        <w:jc w:val="both"/>
        <w:rPr>
          <w:bCs/>
          <w:color w:val="3B3838" w:themeColor="background2" w:themeShade="40"/>
        </w:rPr>
      </w:pPr>
      <w:r w:rsidRPr="00D62847">
        <w:rPr>
          <w:bCs/>
          <w:color w:val="3B3838" w:themeColor="background2" w:themeShade="40"/>
        </w:rPr>
        <w:t>Nabídkovou cenu ovlivňují také nové projekty, které míří do prodeje. Ty se mohou s ohledem na svou lokalitu i nákladovou stránku pohybovat i výrazně nad aktuálním průměrem. Ze statistik pak výrazně vybočují nadstandardní projekty s menším počtem jednotek, kdy ceny za metr čtvereční přesahují dokonce i 200 000 Kč.</w:t>
      </w:r>
    </w:p>
    <w:p w14:paraId="7D86AB97" w14:textId="77777777" w:rsidR="000B32A6" w:rsidRDefault="000B32A6" w:rsidP="000B32A6">
      <w:pPr>
        <w:pStyle w:val="Nadpis2"/>
      </w:pPr>
    </w:p>
    <w:p w14:paraId="4D3BA2C2" w14:textId="15A8886E" w:rsidR="00D62847" w:rsidRDefault="00D62847" w:rsidP="000B32A6">
      <w:pPr>
        <w:pStyle w:val="Nadpis2"/>
      </w:pPr>
      <w:r>
        <w:t>Největší zájem je o malometrážní byty</w:t>
      </w:r>
    </w:p>
    <w:p w14:paraId="350B07E4" w14:textId="77777777" w:rsidR="00FE01B2" w:rsidRPr="00FE01B2" w:rsidRDefault="00FE01B2" w:rsidP="00D62847">
      <w:pPr>
        <w:jc w:val="both"/>
        <w:rPr>
          <w:bCs/>
          <w:color w:val="3B3838" w:themeColor="background2" w:themeShade="40"/>
        </w:rPr>
      </w:pPr>
    </w:p>
    <w:p w14:paraId="4B22E239" w14:textId="77777777" w:rsidR="000B32A6" w:rsidRDefault="00D62847" w:rsidP="007842F0">
      <w:pPr>
        <w:spacing w:after="160"/>
        <w:jc w:val="both"/>
        <w:rPr>
          <w:bCs/>
          <w:color w:val="3B3838" w:themeColor="background2" w:themeShade="40"/>
        </w:rPr>
      </w:pPr>
      <w:r w:rsidRPr="00D62847">
        <w:rPr>
          <w:bCs/>
          <w:color w:val="3B3838" w:themeColor="background2" w:themeShade="40"/>
        </w:rPr>
        <w:t xml:space="preserve">Během druhého čtvrtletí prodejům dominovaly jednopokojové byty s průměrnou výměrou 33 metrů čtverečních. U nich cena za metr čtvereční v průměru atakovala bezmála 140 000 Kč. U větších dispozic se průměrná prodejní cena držela pod úrovní 120 000 Kč za metr. Jednotky s dispozicí 3+kk a více tvořily v rámci celkového počtu prodejů pouhých 16 %. Nejvíce kupců přilákaly projekty Rezidence Křenová, Čtvrť Pod Hády, Polyfunkční dům </w:t>
      </w:r>
      <w:proofErr w:type="spellStart"/>
      <w:r w:rsidRPr="00D62847">
        <w:rPr>
          <w:bCs/>
          <w:color w:val="3B3838" w:themeColor="background2" w:themeShade="40"/>
        </w:rPr>
        <w:t>Dornia</w:t>
      </w:r>
      <w:proofErr w:type="spellEnd"/>
      <w:r w:rsidRPr="00D62847">
        <w:rPr>
          <w:bCs/>
          <w:color w:val="3B3838" w:themeColor="background2" w:themeShade="40"/>
        </w:rPr>
        <w:t xml:space="preserve"> a Rezidence Diorit.</w:t>
      </w:r>
      <w:r w:rsidR="007842F0">
        <w:rPr>
          <w:bCs/>
          <w:color w:val="3B3838" w:themeColor="background2" w:themeShade="40"/>
        </w:rPr>
        <w:tab/>
      </w:r>
      <w:r w:rsidRPr="00D62847">
        <w:rPr>
          <w:bCs/>
          <w:color w:val="3B3838" w:themeColor="background2" w:themeShade="40"/>
        </w:rPr>
        <w:t xml:space="preserve"> </w:t>
      </w:r>
    </w:p>
    <w:p w14:paraId="1AB77A0E" w14:textId="740BF698" w:rsidR="0091078A" w:rsidRPr="0091078A" w:rsidRDefault="0091078A" w:rsidP="0091078A">
      <w:pPr>
        <w:pStyle w:val="Nadpis2"/>
      </w:pPr>
      <w:r w:rsidRPr="0091078A">
        <w:t>Ekonomové</w:t>
      </w:r>
      <w:r w:rsidR="00D62847" w:rsidRPr="0091078A">
        <w:rPr>
          <w:rStyle w:val="Nadpis2Char"/>
          <w:b/>
        </w:rPr>
        <w:t xml:space="preserve"> očekávají nárůst poptávky</w:t>
      </w:r>
      <w:r w:rsidR="00FE01B2" w:rsidRPr="0091078A">
        <w:tab/>
      </w:r>
      <w:r w:rsidR="00FE01B2" w:rsidRPr="0091078A">
        <w:br/>
      </w:r>
    </w:p>
    <w:p w14:paraId="75C5C733" w14:textId="6AE2D2A2" w:rsidR="00D62847" w:rsidRPr="00D62847" w:rsidRDefault="00D62847" w:rsidP="0091078A">
      <w:pPr>
        <w:spacing w:after="160"/>
        <w:jc w:val="both"/>
        <w:rPr>
          <w:bCs/>
          <w:color w:val="3B3838" w:themeColor="background2" w:themeShade="40"/>
        </w:rPr>
      </w:pPr>
      <w:r w:rsidRPr="00D62847">
        <w:rPr>
          <w:bCs/>
          <w:i/>
          <w:iCs/>
          <w:color w:val="3B3838" w:themeColor="background2" w:themeShade="40"/>
        </w:rPr>
        <w:t>„Sazby hypotečních úvěrů klesly k pěti procentům a spotřebitelská nálada se po více než dvou letech vyhoupla do pásma optimismu. V české ekonomice navíc nadále přetrvává prakticky nulová nedobrovolná nezaměstnanost a k dynamickému meziročnímu růstu se vrátily reálné mzdy,“</w:t>
      </w:r>
      <w:r w:rsidRPr="00D62847">
        <w:rPr>
          <w:bCs/>
          <w:color w:val="3B3838" w:themeColor="background2" w:themeShade="40"/>
        </w:rPr>
        <w:t xml:space="preserve"> popisuje Vít Hradil, hlavní ekonom společnosti </w:t>
      </w:r>
      <w:proofErr w:type="spellStart"/>
      <w:r w:rsidRPr="00D62847">
        <w:rPr>
          <w:bCs/>
          <w:color w:val="3B3838" w:themeColor="background2" w:themeShade="40"/>
        </w:rPr>
        <w:t>Cyrrus</w:t>
      </w:r>
      <w:proofErr w:type="spellEnd"/>
      <w:r w:rsidRPr="00D62847">
        <w:rPr>
          <w:bCs/>
          <w:color w:val="3B3838" w:themeColor="background2" w:themeShade="40"/>
        </w:rPr>
        <w:t>.</w:t>
      </w:r>
    </w:p>
    <w:p w14:paraId="7817C089" w14:textId="28A193E6" w:rsidR="00D62847" w:rsidRPr="00D62847" w:rsidRDefault="00D62847" w:rsidP="00FE01B2">
      <w:pPr>
        <w:spacing w:after="160"/>
        <w:jc w:val="both"/>
        <w:rPr>
          <w:bCs/>
          <w:color w:val="3B3838" w:themeColor="background2" w:themeShade="40"/>
        </w:rPr>
      </w:pPr>
      <w:r w:rsidRPr="00D62847">
        <w:rPr>
          <w:bCs/>
          <w:color w:val="3B3838" w:themeColor="background2" w:themeShade="40"/>
        </w:rPr>
        <w:t>Postupný růst cen bytů v roce 2024 podle Hradila signalizuje definitivní odražení ode dna. Na straně nabídky totiž podle něj k žádnému hmatatelnému zlepšení nedošlo, když stavební materiály i práce nadále zdražovaly a stavební řízení zůstává enormně komplikované.</w:t>
      </w:r>
    </w:p>
    <w:p w14:paraId="424242CD" w14:textId="77777777" w:rsidR="00D62847" w:rsidRPr="00D62847" w:rsidRDefault="00D62847" w:rsidP="00FE01B2">
      <w:pPr>
        <w:spacing w:after="160"/>
        <w:jc w:val="both"/>
        <w:rPr>
          <w:bCs/>
          <w:color w:val="3B3838" w:themeColor="background2" w:themeShade="40"/>
        </w:rPr>
      </w:pPr>
      <w:r w:rsidRPr="00D62847">
        <w:rPr>
          <w:bCs/>
          <w:i/>
          <w:iCs/>
          <w:color w:val="3B3838" w:themeColor="background2" w:themeShade="40"/>
        </w:rPr>
        <w:t>„Nejpravděpodobnějším dalším scénářem je tedy oživování poptávky po nemovitostech, která bude narážet na setrvale omezenou nabídku. Ceny bytů tak již další pokles zřejmě nečeká, naopak lze počítat s jejich zrychlujícím růstem,“</w:t>
      </w:r>
      <w:r w:rsidRPr="00D62847">
        <w:rPr>
          <w:bCs/>
          <w:color w:val="3B3838" w:themeColor="background2" w:themeShade="40"/>
        </w:rPr>
        <w:t xml:space="preserve"> uzavírá Hradil.</w:t>
      </w:r>
    </w:p>
    <w:p w14:paraId="2888090B" w14:textId="77777777" w:rsidR="00A108AF" w:rsidRDefault="00A108AF" w:rsidP="00A108AF">
      <w:pPr>
        <w:spacing w:after="160"/>
        <w:rPr>
          <w:bCs/>
          <w:color w:val="3B3838" w:themeColor="background2" w:themeShade="40"/>
        </w:rPr>
      </w:pPr>
    </w:p>
    <w:p w14:paraId="21F9F205" w14:textId="77777777" w:rsidR="00FE01B2" w:rsidRDefault="00FE01B2" w:rsidP="00A108AF">
      <w:pPr>
        <w:spacing w:after="160"/>
        <w:rPr>
          <w:bCs/>
          <w:color w:val="3B3838" w:themeColor="background2" w:themeShade="40"/>
        </w:rPr>
      </w:pPr>
    </w:p>
    <w:p w14:paraId="1567C437" w14:textId="33019C9F" w:rsidR="00557D2C" w:rsidRPr="006D7C01" w:rsidRDefault="00C66067" w:rsidP="006D7C01">
      <w:pPr>
        <w:spacing w:after="160"/>
        <w:rPr>
          <w:bCs/>
          <w:color w:val="3B3838" w:themeColor="background2" w:themeShade="40"/>
        </w:rPr>
      </w:pPr>
      <w:r w:rsidRPr="00C66067">
        <w:rPr>
          <w:bCs/>
          <w:color w:val="3B3838" w:themeColor="background2" w:themeShade="40"/>
          <w:sz w:val="20"/>
          <w:szCs w:val="20"/>
        </w:rPr>
        <w:t>Kontakt pro média:</w:t>
      </w:r>
      <w:r w:rsidR="006D7C01">
        <w:rPr>
          <w:bCs/>
          <w:color w:val="3B3838" w:themeColor="background2" w:themeShade="40"/>
        </w:rPr>
        <w:t xml:space="preserve"> </w:t>
      </w:r>
      <w:r w:rsidR="006D7C01">
        <w:rPr>
          <w:bCs/>
          <w:color w:val="3B3838" w:themeColor="background2" w:themeShade="40"/>
        </w:rPr>
        <w:br/>
      </w:r>
      <w:r w:rsidRPr="00C66067">
        <w:rPr>
          <w:bCs/>
          <w:color w:val="3B3838" w:themeColor="background2" w:themeShade="40"/>
          <w:sz w:val="20"/>
          <w:szCs w:val="20"/>
        </w:rPr>
        <w:t xml:space="preserve">Tashi Erml, </w:t>
      </w:r>
      <w:proofErr w:type="spellStart"/>
      <w:r w:rsidRPr="00C66067">
        <w:rPr>
          <w:bCs/>
          <w:color w:val="3B3838" w:themeColor="background2" w:themeShade="40"/>
          <w:sz w:val="20"/>
          <w:szCs w:val="20"/>
        </w:rPr>
        <w:t>Ewing</w:t>
      </w:r>
      <w:proofErr w:type="spellEnd"/>
      <w:r w:rsidRPr="00C66067">
        <w:rPr>
          <w:bCs/>
          <w:color w:val="3B3838" w:themeColor="background2" w:themeShade="40"/>
          <w:sz w:val="20"/>
          <w:szCs w:val="20"/>
        </w:rPr>
        <w:t>, erml@ewing.cz; +420 775 106 886</w:t>
      </w:r>
    </w:p>
    <w:sectPr w:rsidR="00557D2C" w:rsidRPr="006D7C01" w:rsidSect="005C40E3">
      <w:headerReference w:type="default" r:id="rId11"/>
      <w:footerReference w:type="default" r:id="rId12"/>
      <w:pgSz w:w="11906" w:h="16838" w:code="9"/>
      <w:pgMar w:top="2694" w:right="1418" w:bottom="1985" w:left="1418" w:header="175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DB40B" w14:textId="77777777" w:rsidR="0054717C" w:rsidRDefault="0054717C" w:rsidP="00FF7F2C">
      <w:pPr>
        <w:spacing w:line="240" w:lineRule="auto"/>
      </w:pPr>
      <w:r>
        <w:separator/>
      </w:r>
    </w:p>
  </w:endnote>
  <w:endnote w:type="continuationSeparator" w:id="0">
    <w:p w14:paraId="12677B95" w14:textId="77777777" w:rsidR="0054717C" w:rsidRDefault="0054717C" w:rsidP="00FF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SansMTPro-Book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D18B4" w14:textId="6A639F6C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Trikaya Asset Management a.s.</w:t>
    </w:r>
    <w:r w:rsidRPr="000802DB">
      <w:rPr>
        <w:rFonts w:ascii="Calibri" w:eastAsia="Calibri" w:hAnsi="Calibri" w:cs="Times New Roman"/>
        <w:sz w:val="20"/>
        <w:szCs w:val="20"/>
      </w:rPr>
      <w:ptab w:relativeTo="margin" w:alignment="center" w:leader="none"/>
    </w:r>
    <w:r w:rsidRPr="000802DB">
      <w:rPr>
        <w:rFonts w:ascii="Calibri" w:eastAsia="Calibri" w:hAnsi="Calibri" w:cs="Times New Roman"/>
        <w:sz w:val="20"/>
        <w:szCs w:val="20"/>
      </w:rPr>
      <w:t xml:space="preserve">  </w:t>
    </w: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Šumavská 519/35, budova C</w:t>
    </w:r>
    <w:r w:rsidR="006265B1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</w:r>
    <w:hyperlink r:id="rId1" w:history="1">
      <w:r w:rsidRPr="000802DB">
        <w:rPr>
          <w:rFonts w:ascii="GillSansMTPro-Book" w:eastAsia="Calibri" w:hAnsi="GillSansMTPro-Book" w:cs="Times New Roman"/>
          <w:color w:val="0563C1"/>
          <w:sz w:val="20"/>
          <w:szCs w:val="20"/>
          <w:u w:val="single"/>
          <w:shd w:val="clear" w:color="auto" w:fill="FFFFFF"/>
        </w:rPr>
        <w:t>www.trikaya.cz</w:t>
      </w:r>
    </w:hyperlink>
  </w:p>
  <w:p w14:paraId="21D97055" w14:textId="36948F58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  <w:t>602 00 Brno</w:t>
    </w:r>
  </w:p>
  <w:p w14:paraId="15783A8C" w14:textId="77777777" w:rsidR="00090151" w:rsidRPr="00BC6A3E" w:rsidRDefault="00090151">
    <w:pPr>
      <w:pStyle w:val="Zpat"/>
      <w:rPr>
        <w:sz w:val="36"/>
      </w:rPr>
    </w:pPr>
  </w:p>
  <w:p w14:paraId="406AD05F" w14:textId="7505AF7D" w:rsidR="00090151" w:rsidRDefault="00090151" w:rsidP="009E2C21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647901">
      <w:rPr>
        <w:noProof/>
      </w:rPr>
      <w:t>9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47901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470D1" w14:textId="77777777" w:rsidR="0054717C" w:rsidRDefault="0054717C" w:rsidP="00FF7F2C">
      <w:pPr>
        <w:spacing w:line="240" w:lineRule="auto"/>
      </w:pPr>
      <w:r>
        <w:separator/>
      </w:r>
    </w:p>
  </w:footnote>
  <w:footnote w:type="continuationSeparator" w:id="0">
    <w:p w14:paraId="77D3D4C1" w14:textId="77777777" w:rsidR="0054717C" w:rsidRDefault="0054717C" w:rsidP="00FF7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B6CA3" w14:textId="0BB7993A" w:rsidR="00090151" w:rsidRDefault="000901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4F3338AC" wp14:editId="7B11F7DF">
          <wp:simplePos x="0" y="0"/>
          <wp:positionH relativeFrom="page">
            <wp:posOffset>895985</wp:posOffset>
          </wp:positionH>
          <wp:positionV relativeFrom="page">
            <wp:posOffset>897890</wp:posOffset>
          </wp:positionV>
          <wp:extent cx="309245" cy="37084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rikaya_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3C0E"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0558D"/>
    <w:multiLevelType w:val="hybridMultilevel"/>
    <w:tmpl w:val="74A68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30075"/>
    <w:multiLevelType w:val="hybridMultilevel"/>
    <w:tmpl w:val="FDC62414"/>
    <w:lvl w:ilvl="0" w:tplc="3E828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52876">
    <w:abstractNumId w:val="1"/>
  </w:num>
  <w:num w:numId="2" w16cid:durableId="116478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F0"/>
    <w:rsid w:val="0000562D"/>
    <w:rsid w:val="000073FD"/>
    <w:rsid w:val="00017795"/>
    <w:rsid w:val="000305C6"/>
    <w:rsid w:val="00030A0F"/>
    <w:rsid w:val="000377BC"/>
    <w:rsid w:val="00041778"/>
    <w:rsid w:val="00042EAF"/>
    <w:rsid w:val="000469B4"/>
    <w:rsid w:val="00046B1E"/>
    <w:rsid w:val="000517EF"/>
    <w:rsid w:val="00051BF3"/>
    <w:rsid w:val="000552BF"/>
    <w:rsid w:val="00063625"/>
    <w:rsid w:val="000802DB"/>
    <w:rsid w:val="00081760"/>
    <w:rsid w:val="000848FF"/>
    <w:rsid w:val="00090151"/>
    <w:rsid w:val="00090537"/>
    <w:rsid w:val="00090FC2"/>
    <w:rsid w:val="00093C69"/>
    <w:rsid w:val="000974E3"/>
    <w:rsid w:val="000977B8"/>
    <w:rsid w:val="000A15A6"/>
    <w:rsid w:val="000A161B"/>
    <w:rsid w:val="000A1661"/>
    <w:rsid w:val="000A2A3F"/>
    <w:rsid w:val="000A5ECB"/>
    <w:rsid w:val="000B32A6"/>
    <w:rsid w:val="000C47BD"/>
    <w:rsid w:val="000C7172"/>
    <w:rsid w:val="000D312C"/>
    <w:rsid w:val="000D3699"/>
    <w:rsid w:val="000D762C"/>
    <w:rsid w:val="000D7CD7"/>
    <w:rsid w:val="000E67BD"/>
    <w:rsid w:val="000E7725"/>
    <w:rsid w:val="000F25A2"/>
    <w:rsid w:val="00100F1F"/>
    <w:rsid w:val="00112DDD"/>
    <w:rsid w:val="00117DC3"/>
    <w:rsid w:val="00125BF0"/>
    <w:rsid w:val="00132AA9"/>
    <w:rsid w:val="00136B3F"/>
    <w:rsid w:val="00137506"/>
    <w:rsid w:val="00146925"/>
    <w:rsid w:val="00151ACE"/>
    <w:rsid w:val="0015407D"/>
    <w:rsid w:val="001655CF"/>
    <w:rsid w:val="00174816"/>
    <w:rsid w:val="00181D3D"/>
    <w:rsid w:val="00196BF8"/>
    <w:rsid w:val="001A1CD1"/>
    <w:rsid w:val="001B5C9B"/>
    <w:rsid w:val="001C294D"/>
    <w:rsid w:val="001D09BF"/>
    <w:rsid w:val="001D1CFF"/>
    <w:rsid w:val="001D47F8"/>
    <w:rsid w:val="001D68C0"/>
    <w:rsid w:val="001E2E64"/>
    <w:rsid w:val="001E7FF1"/>
    <w:rsid w:val="002037EF"/>
    <w:rsid w:val="00215346"/>
    <w:rsid w:val="00220734"/>
    <w:rsid w:val="002253EB"/>
    <w:rsid w:val="00226407"/>
    <w:rsid w:val="00226843"/>
    <w:rsid w:val="0023217D"/>
    <w:rsid w:val="0023252E"/>
    <w:rsid w:val="00236CD0"/>
    <w:rsid w:val="00236EEB"/>
    <w:rsid w:val="0023703C"/>
    <w:rsid w:val="0024186D"/>
    <w:rsid w:val="00243FD7"/>
    <w:rsid w:val="002515A9"/>
    <w:rsid w:val="00252E04"/>
    <w:rsid w:val="00253008"/>
    <w:rsid w:val="00257DA5"/>
    <w:rsid w:val="0026383B"/>
    <w:rsid w:val="00263C67"/>
    <w:rsid w:val="00265B32"/>
    <w:rsid w:val="00281EE7"/>
    <w:rsid w:val="00284095"/>
    <w:rsid w:val="00295320"/>
    <w:rsid w:val="002A070A"/>
    <w:rsid w:val="002A2D0D"/>
    <w:rsid w:val="002A5AEF"/>
    <w:rsid w:val="002B1D7D"/>
    <w:rsid w:val="002C0A94"/>
    <w:rsid w:val="002C4DC3"/>
    <w:rsid w:val="002D252C"/>
    <w:rsid w:val="002D763B"/>
    <w:rsid w:val="002E0CC4"/>
    <w:rsid w:val="002E4F8D"/>
    <w:rsid w:val="002E556E"/>
    <w:rsid w:val="002E594A"/>
    <w:rsid w:val="002F27AC"/>
    <w:rsid w:val="002F3C0E"/>
    <w:rsid w:val="002F46DA"/>
    <w:rsid w:val="002F7ED5"/>
    <w:rsid w:val="00313B63"/>
    <w:rsid w:val="003158F8"/>
    <w:rsid w:val="00321109"/>
    <w:rsid w:val="0032503F"/>
    <w:rsid w:val="00333F51"/>
    <w:rsid w:val="00335436"/>
    <w:rsid w:val="003421B5"/>
    <w:rsid w:val="00344119"/>
    <w:rsid w:val="003501B1"/>
    <w:rsid w:val="003502AF"/>
    <w:rsid w:val="003564F1"/>
    <w:rsid w:val="00361D2D"/>
    <w:rsid w:val="0036294B"/>
    <w:rsid w:val="0037230C"/>
    <w:rsid w:val="00384519"/>
    <w:rsid w:val="00384E89"/>
    <w:rsid w:val="00387C21"/>
    <w:rsid w:val="003912C6"/>
    <w:rsid w:val="003A1C9F"/>
    <w:rsid w:val="003A3A60"/>
    <w:rsid w:val="003B2494"/>
    <w:rsid w:val="003B41EB"/>
    <w:rsid w:val="003B56E9"/>
    <w:rsid w:val="003D016A"/>
    <w:rsid w:val="003D300F"/>
    <w:rsid w:val="003E1964"/>
    <w:rsid w:val="003E4E43"/>
    <w:rsid w:val="003F22E7"/>
    <w:rsid w:val="003F2E8E"/>
    <w:rsid w:val="003F5A03"/>
    <w:rsid w:val="00404240"/>
    <w:rsid w:val="00406101"/>
    <w:rsid w:val="00417C32"/>
    <w:rsid w:val="0042580E"/>
    <w:rsid w:val="00431455"/>
    <w:rsid w:val="00433B6F"/>
    <w:rsid w:val="0043778B"/>
    <w:rsid w:val="0044362E"/>
    <w:rsid w:val="00450609"/>
    <w:rsid w:val="00470263"/>
    <w:rsid w:val="00474EBA"/>
    <w:rsid w:val="00482008"/>
    <w:rsid w:val="00491A6E"/>
    <w:rsid w:val="0049233C"/>
    <w:rsid w:val="00493A8D"/>
    <w:rsid w:val="0049675E"/>
    <w:rsid w:val="004A0637"/>
    <w:rsid w:val="004A1428"/>
    <w:rsid w:val="004B0F41"/>
    <w:rsid w:val="004B460E"/>
    <w:rsid w:val="004D18D8"/>
    <w:rsid w:val="004D3EE5"/>
    <w:rsid w:val="004D6FF7"/>
    <w:rsid w:val="004D78C5"/>
    <w:rsid w:val="004E18C3"/>
    <w:rsid w:val="004F1C11"/>
    <w:rsid w:val="005043C5"/>
    <w:rsid w:val="005130F6"/>
    <w:rsid w:val="00513970"/>
    <w:rsid w:val="00515BB7"/>
    <w:rsid w:val="00517ED3"/>
    <w:rsid w:val="0052228D"/>
    <w:rsid w:val="00524F98"/>
    <w:rsid w:val="00535A8D"/>
    <w:rsid w:val="00542897"/>
    <w:rsid w:val="0054717C"/>
    <w:rsid w:val="00551481"/>
    <w:rsid w:val="0055349E"/>
    <w:rsid w:val="00557D2C"/>
    <w:rsid w:val="00571486"/>
    <w:rsid w:val="005721BD"/>
    <w:rsid w:val="005726B5"/>
    <w:rsid w:val="00573A8E"/>
    <w:rsid w:val="005774AA"/>
    <w:rsid w:val="00581CE3"/>
    <w:rsid w:val="005842EC"/>
    <w:rsid w:val="005857C6"/>
    <w:rsid w:val="00586F83"/>
    <w:rsid w:val="00593C10"/>
    <w:rsid w:val="00595E81"/>
    <w:rsid w:val="005A353B"/>
    <w:rsid w:val="005A4F23"/>
    <w:rsid w:val="005A61D6"/>
    <w:rsid w:val="005B222D"/>
    <w:rsid w:val="005B3AB0"/>
    <w:rsid w:val="005B416B"/>
    <w:rsid w:val="005B6E19"/>
    <w:rsid w:val="005C40E3"/>
    <w:rsid w:val="005C4DE7"/>
    <w:rsid w:val="005C5472"/>
    <w:rsid w:val="005D6872"/>
    <w:rsid w:val="005E0A5A"/>
    <w:rsid w:val="005E36F7"/>
    <w:rsid w:val="005E3E0C"/>
    <w:rsid w:val="005F1289"/>
    <w:rsid w:val="00610BFD"/>
    <w:rsid w:val="00623168"/>
    <w:rsid w:val="006265B1"/>
    <w:rsid w:val="0062660E"/>
    <w:rsid w:val="0063583B"/>
    <w:rsid w:val="006379BB"/>
    <w:rsid w:val="00642798"/>
    <w:rsid w:val="00644099"/>
    <w:rsid w:val="00644A29"/>
    <w:rsid w:val="00647901"/>
    <w:rsid w:val="00650EBE"/>
    <w:rsid w:val="006570B0"/>
    <w:rsid w:val="00671263"/>
    <w:rsid w:val="00681AA3"/>
    <w:rsid w:val="0069165B"/>
    <w:rsid w:val="0069342D"/>
    <w:rsid w:val="00694620"/>
    <w:rsid w:val="006958EE"/>
    <w:rsid w:val="006A5A96"/>
    <w:rsid w:val="006A649F"/>
    <w:rsid w:val="006A6C0F"/>
    <w:rsid w:val="006B4266"/>
    <w:rsid w:val="006B48FF"/>
    <w:rsid w:val="006C272B"/>
    <w:rsid w:val="006C67FE"/>
    <w:rsid w:val="006D7057"/>
    <w:rsid w:val="006D712F"/>
    <w:rsid w:val="006D7C01"/>
    <w:rsid w:val="006E68D2"/>
    <w:rsid w:val="006F68A0"/>
    <w:rsid w:val="006F7FCA"/>
    <w:rsid w:val="00701665"/>
    <w:rsid w:val="00704422"/>
    <w:rsid w:val="00707816"/>
    <w:rsid w:val="00713B0C"/>
    <w:rsid w:val="00722F2F"/>
    <w:rsid w:val="00723C8D"/>
    <w:rsid w:val="0073762F"/>
    <w:rsid w:val="0074370A"/>
    <w:rsid w:val="0074674D"/>
    <w:rsid w:val="0075030B"/>
    <w:rsid w:val="00752232"/>
    <w:rsid w:val="00763059"/>
    <w:rsid w:val="00764A54"/>
    <w:rsid w:val="00765EDC"/>
    <w:rsid w:val="0076754F"/>
    <w:rsid w:val="00771474"/>
    <w:rsid w:val="007757A7"/>
    <w:rsid w:val="00777E02"/>
    <w:rsid w:val="00780334"/>
    <w:rsid w:val="007842F0"/>
    <w:rsid w:val="00784A27"/>
    <w:rsid w:val="00795B20"/>
    <w:rsid w:val="0079652E"/>
    <w:rsid w:val="007A118A"/>
    <w:rsid w:val="007A3DFC"/>
    <w:rsid w:val="007B5B5F"/>
    <w:rsid w:val="007B7A6B"/>
    <w:rsid w:val="007C1863"/>
    <w:rsid w:val="007C1FB8"/>
    <w:rsid w:val="007C41AB"/>
    <w:rsid w:val="007C5A55"/>
    <w:rsid w:val="007C7B14"/>
    <w:rsid w:val="007D2238"/>
    <w:rsid w:val="007D602A"/>
    <w:rsid w:val="007D6A80"/>
    <w:rsid w:val="007E011F"/>
    <w:rsid w:val="007E2194"/>
    <w:rsid w:val="007E5AC8"/>
    <w:rsid w:val="007E5E8E"/>
    <w:rsid w:val="007F271D"/>
    <w:rsid w:val="007F32F4"/>
    <w:rsid w:val="008054AB"/>
    <w:rsid w:val="0080632B"/>
    <w:rsid w:val="00807EAE"/>
    <w:rsid w:val="008223B1"/>
    <w:rsid w:val="00823384"/>
    <w:rsid w:val="00830F9B"/>
    <w:rsid w:val="00836C6B"/>
    <w:rsid w:val="00837AE2"/>
    <w:rsid w:val="0084307B"/>
    <w:rsid w:val="00843116"/>
    <w:rsid w:val="008522B4"/>
    <w:rsid w:val="00852C42"/>
    <w:rsid w:val="0085461C"/>
    <w:rsid w:val="008569F3"/>
    <w:rsid w:val="00881668"/>
    <w:rsid w:val="00885782"/>
    <w:rsid w:val="00897007"/>
    <w:rsid w:val="008B499F"/>
    <w:rsid w:val="008D675D"/>
    <w:rsid w:val="008E23D8"/>
    <w:rsid w:val="008E5571"/>
    <w:rsid w:val="008F4DE2"/>
    <w:rsid w:val="00902359"/>
    <w:rsid w:val="00904773"/>
    <w:rsid w:val="0091078A"/>
    <w:rsid w:val="00912C86"/>
    <w:rsid w:val="00913ED8"/>
    <w:rsid w:val="00916B3D"/>
    <w:rsid w:val="0092194B"/>
    <w:rsid w:val="00926A1C"/>
    <w:rsid w:val="009325CD"/>
    <w:rsid w:val="009346CC"/>
    <w:rsid w:val="00936BFC"/>
    <w:rsid w:val="00947865"/>
    <w:rsid w:val="00951F1B"/>
    <w:rsid w:val="0095361D"/>
    <w:rsid w:val="009563F9"/>
    <w:rsid w:val="00971DD8"/>
    <w:rsid w:val="00972DBB"/>
    <w:rsid w:val="00974CDA"/>
    <w:rsid w:val="009825A7"/>
    <w:rsid w:val="00990AC8"/>
    <w:rsid w:val="009A141B"/>
    <w:rsid w:val="009A297E"/>
    <w:rsid w:val="009A4A0C"/>
    <w:rsid w:val="009A4F9A"/>
    <w:rsid w:val="009B0639"/>
    <w:rsid w:val="009B3A7B"/>
    <w:rsid w:val="009B63E4"/>
    <w:rsid w:val="009C0E8B"/>
    <w:rsid w:val="009C4487"/>
    <w:rsid w:val="009D3201"/>
    <w:rsid w:val="009D61F6"/>
    <w:rsid w:val="009D765F"/>
    <w:rsid w:val="009E143E"/>
    <w:rsid w:val="009E173E"/>
    <w:rsid w:val="009E2C21"/>
    <w:rsid w:val="009F7B8E"/>
    <w:rsid w:val="00A006C4"/>
    <w:rsid w:val="00A06D29"/>
    <w:rsid w:val="00A108AF"/>
    <w:rsid w:val="00A215BA"/>
    <w:rsid w:val="00A2524A"/>
    <w:rsid w:val="00A25A2F"/>
    <w:rsid w:val="00A32642"/>
    <w:rsid w:val="00A35E67"/>
    <w:rsid w:val="00A3709A"/>
    <w:rsid w:val="00A42394"/>
    <w:rsid w:val="00A4288D"/>
    <w:rsid w:val="00A505C1"/>
    <w:rsid w:val="00A50B04"/>
    <w:rsid w:val="00A53A70"/>
    <w:rsid w:val="00A54910"/>
    <w:rsid w:val="00A643A0"/>
    <w:rsid w:val="00A73D8D"/>
    <w:rsid w:val="00A76F2E"/>
    <w:rsid w:val="00A93C98"/>
    <w:rsid w:val="00A9413F"/>
    <w:rsid w:val="00A96FBA"/>
    <w:rsid w:val="00AB2E95"/>
    <w:rsid w:val="00AB3F03"/>
    <w:rsid w:val="00AB7C7B"/>
    <w:rsid w:val="00AC0A8D"/>
    <w:rsid w:val="00AD060E"/>
    <w:rsid w:val="00AD35B7"/>
    <w:rsid w:val="00AD4A78"/>
    <w:rsid w:val="00AD5CBA"/>
    <w:rsid w:val="00AD7932"/>
    <w:rsid w:val="00AE167A"/>
    <w:rsid w:val="00AE309D"/>
    <w:rsid w:val="00AE4BBA"/>
    <w:rsid w:val="00AF7C4A"/>
    <w:rsid w:val="00B03F53"/>
    <w:rsid w:val="00B14C24"/>
    <w:rsid w:val="00B176BB"/>
    <w:rsid w:val="00B26098"/>
    <w:rsid w:val="00B3561E"/>
    <w:rsid w:val="00B36900"/>
    <w:rsid w:val="00B4613F"/>
    <w:rsid w:val="00B509C4"/>
    <w:rsid w:val="00B54944"/>
    <w:rsid w:val="00B618EA"/>
    <w:rsid w:val="00B721C3"/>
    <w:rsid w:val="00B82F56"/>
    <w:rsid w:val="00B86A40"/>
    <w:rsid w:val="00B90754"/>
    <w:rsid w:val="00B94975"/>
    <w:rsid w:val="00BA03D6"/>
    <w:rsid w:val="00BA3328"/>
    <w:rsid w:val="00BA7E38"/>
    <w:rsid w:val="00BB1ED7"/>
    <w:rsid w:val="00BC184D"/>
    <w:rsid w:val="00BC6A3E"/>
    <w:rsid w:val="00BC7DE2"/>
    <w:rsid w:val="00BD026D"/>
    <w:rsid w:val="00BD2E9A"/>
    <w:rsid w:val="00BE5895"/>
    <w:rsid w:val="00BF0798"/>
    <w:rsid w:val="00BF268D"/>
    <w:rsid w:val="00BF4993"/>
    <w:rsid w:val="00BF6CF6"/>
    <w:rsid w:val="00C062FF"/>
    <w:rsid w:val="00C06E67"/>
    <w:rsid w:val="00C16173"/>
    <w:rsid w:val="00C25058"/>
    <w:rsid w:val="00C26CF9"/>
    <w:rsid w:val="00C2713B"/>
    <w:rsid w:val="00C314DC"/>
    <w:rsid w:val="00C424D2"/>
    <w:rsid w:val="00C4396C"/>
    <w:rsid w:val="00C44977"/>
    <w:rsid w:val="00C517E0"/>
    <w:rsid w:val="00C605C0"/>
    <w:rsid w:val="00C60FCB"/>
    <w:rsid w:val="00C625A0"/>
    <w:rsid w:val="00C625C3"/>
    <w:rsid w:val="00C634A3"/>
    <w:rsid w:val="00C66067"/>
    <w:rsid w:val="00C672DF"/>
    <w:rsid w:val="00C81386"/>
    <w:rsid w:val="00C82945"/>
    <w:rsid w:val="00C845BB"/>
    <w:rsid w:val="00C937B8"/>
    <w:rsid w:val="00C94CB3"/>
    <w:rsid w:val="00C96E33"/>
    <w:rsid w:val="00CA6FB8"/>
    <w:rsid w:val="00CB0D72"/>
    <w:rsid w:val="00CC34F3"/>
    <w:rsid w:val="00CD77E3"/>
    <w:rsid w:val="00CE3DF8"/>
    <w:rsid w:val="00CE55CE"/>
    <w:rsid w:val="00CE7C69"/>
    <w:rsid w:val="00CE7D3F"/>
    <w:rsid w:val="00CF19C7"/>
    <w:rsid w:val="00D1042B"/>
    <w:rsid w:val="00D22B1B"/>
    <w:rsid w:val="00D22D33"/>
    <w:rsid w:val="00D233B7"/>
    <w:rsid w:val="00D30D9C"/>
    <w:rsid w:val="00D3253C"/>
    <w:rsid w:val="00D35280"/>
    <w:rsid w:val="00D41342"/>
    <w:rsid w:val="00D45128"/>
    <w:rsid w:val="00D514C7"/>
    <w:rsid w:val="00D534B5"/>
    <w:rsid w:val="00D55B9D"/>
    <w:rsid w:val="00D62847"/>
    <w:rsid w:val="00D677A7"/>
    <w:rsid w:val="00D70B0F"/>
    <w:rsid w:val="00D7330A"/>
    <w:rsid w:val="00D75B18"/>
    <w:rsid w:val="00D862D0"/>
    <w:rsid w:val="00D94702"/>
    <w:rsid w:val="00D94BC4"/>
    <w:rsid w:val="00D95921"/>
    <w:rsid w:val="00DA555E"/>
    <w:rsid w:val="00DA7A35"/>
    <w:rsid w:val="00DB03BF"/>
    <w:rsid w:val="00DB221E"/>
    <w:rsid w:val="00DB4051"/>
    <w:rsid w:val="00DB5BE8"/>
    <w:rsid w:val="00DC0A05"/>
    <w:rsid w:val="00DD30FA"/>
    <w:rsid w:val="00DD3B1F"/>
    <w:rsid w:val="00DE08D3"/>
    <w:rsid w:val="00DE5835"/>
    <w:rsid w:val="00DE7C88"/>
    <w:rsid w:val="00DF1615"/>
    <w:rsid w:val="00DF42D9"/>
    <w:rsid w:val="00DF44C4"/>
    <w:rsid w:val="00E03357"/>
    <w:rsid w:val="00E1278D"/>
    <w:rsid w:val="00E16528"/>
    <w:rsid w:val="00E23F15"/>
    <w:rsid w:val="00E2693A"/>
    <w:rsid w:val="00E312B4"/>
    <w:rsid w:val="00E36BA6"/>
    <w:rsid w:val="00E61331"/>
    <w:rsid w:val="00E645E7"/>
    <w:rsid w:val="00E71A57"/>
    <w:rsid w:val="00E73139"/>
    <w:rsid w:val="00E7617E"/>
    <w:rsid w:val="00E806A2"/>
    <w:rsid w:val="00E8271F"/>
    <w:rsid w:val="00E84DC6"/>
    <w:rsid w:val="00E94029"/>
    <w:rsid w:val="00EA3464"/>
    <w:rsid w:val="00EB2665"/>
    <w:rsid w:val="00EC04AB"/>
    <w:rsid w:val="00ED0722"/>
    <w:rsid w:val="00EF26B5"/>
    <w:rsid w:val="00EF663B"/>
    <w:rsid w:val="00F028EF"/>
    <w:rsid w:val="00F02BC0"/>
    <w:rsid w:val="00F26BCA"/>
    <w:rsid w:val="00F30A54"/>
    <w:rsid w:val="00F34009"/>
    <w:rsid w:val="00F5250D"/>
    <w:rsid w:val="00F60257"/>
    <w:rsid w:val="00F62D40"/>
    <w:rsid w:val="00F63AA3"/>
    <w:rsid w:val="00F66058"/>
    <w:rsid w:val="00F73710"/>
    <w:rsid w:val="00F82DD6"/>
    <w:rsid w:val="00F965D4"/>
    <w:rsid w:val="00F97185"/>
    <w:rsid w:val="00FA700F"/>
    <w:rsid w:val="00FB4521"/>
    <w:rsid w:val="00FC54F2"/>
    <w:rsid w:val="00FC59D2"/>
    <w:rsid w:val="00FC6EFE"/>
    <w:rsid w:val="00FC7066"/>
    <w:rsid w:val="00FC792D"/>
    <w:rsid w:val="00FD11F0"/>
    <w:rsid w:val="00FE01B2"/>
    <w:rsid w:val="00FE59BC"/>
    <w:rsid w:val="00FE7F59"/>
    <w:rsid w:val="00FF35EC"/>
    <w:rsid w:val="00FF5751"/>
    <w:rsid w:val="00FF5E3D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C51B4"/>
  <w15:chartTrackingRefBased/>
  <w15:docId w15:val="{C6AA3308-9628-4067-86C3-C1F50C9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2847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04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32A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b/>
      <w:color w:val="0C2340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4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47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2340" w:themeColor="accen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7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234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FF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caps/>
      <w:color w:val="C8102E" w:themeColor="accent1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6B48FF"/>
    <w:rPr>
      <w:rFonts w:asciiTheme="majorHAnsi" w:hAnsiTheme="majorHAnsi"/>
      <w:caps/>
      <w:color w:val="C8102E" w:themeColor="accent1"/>
      <w:sz w:val="20"/>
    </w:rPr>
  </w:style>
  <w:style w:type="paragraph" w:styleId="Zpat">
    <w:name w:val="footer"/>
    <w:basedOn w:val="Normln"/>
    <w:link w:val="ZpatChar"/>
    <w:uiPriority w:val="99"/>
    <w:unhideWhenUsed/>
    <w:rsid w:val="00BC6A3E"/>
    <w:pPr>
      <w:tabs>
        <w:tab w:val="center" w:pos="4536"/>
        <w:tab w:val="right" w:pos="9072"/>
      </w:tabs>
      <w:spacing w:line="192" w:lineRule="auto"/>
      <w:jc w:val="center"/>
    </w:pPr>
    <w:rPr>
      <w:color w:val="0C2340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6A3E"/>
    <w:rPr>
      <w:color w:val="0C2340" w:themeColor="accent2"/>
      <w:sz w:val="16"/>
    </w:rPr>
  </w:style>
  <w:style w:type="table" w:styleId="Mkatabulky">
    <w:name w:val="Table Grid"/>
    <w:basedOn w:val="Normlntabulka"/>
    <w:uiPriority w:val="39"/>
    <w:rsid w:val="009E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zka">
    <w:name w:val="dolozka"/>
    <w:basedOn w:val="Normln"/>
    <w:qFormat/>
    <w:rsid w:val="00681AA3"/>
    <w:rPr>
      <w:color w:val="B3B3B3"/>
      <w:sz w:val="12"/>
    </w:rPr>
  </w:style>
  <w:style w:type="paragraph" w:customStyle="1" w:styleId="Hlavicka">
    <w:name w:val="Hlavicka"/>
    <w:basedOn w:val="Normln"/>
    <w:next w:val="Normln"/>
    <w:qFormat/>
    <w:rsid w:val="007D602A"/>
    <w:rPr>
      <w:sz w:val="1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4773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32A6"/>
    <w:rPr>
      <w:rFonts w:asciiTheme="majorHAnsi" w:eastAsiaTheme="majorEastAsia" w:hAnsiTheme="majorHAnsi" w:cstheme="majorBidi"/>
      <w:b/>
      <w:color w:val="0C2340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4773"/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04773"/>
    <w:rPr>
      <w:rFonts w:asciiTheme="majorHAnsi" w:eastAsiaTheme="majorEastAsia" w:hAnsiTheme="majorHAnsi" w:cstheme="majorBidi"/>
      <w:i/>
      <w:iCs/>
      <w:color w:val="0C2340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773"/>
    <w:rPr>
      <w:rFonts w:asciiTheme="majorHAnsi" w:eastAsiaTheme="majorEastAsia" w:hAnsiTheme="majorHAnsi" w:cstheme="majorBidi"/>
      <w:color w:val="0C2340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11F0"/>
    <w:pPr>
      <w:spacing w:after="16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4A54"/>
    <w:rPr>
      <w:color w:val="1D569B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4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1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18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86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65EDC"/>
    <w:rPr>
      <w:color w:val="EE2A4B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81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7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054AB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02D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53E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3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53EB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94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kay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Trikay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102E"/>
      </a:accent1>
      <a:accent2>
        <a:srgbClr val="0C2340"/>
      </a:accent2>
      <a:accent3>
        <a:srgbClr val="A8AD00"/>
      </a:accent3>
      <a:accent4>
        <a:srgbClr val="84329B"/>
      </a:accent4>
      <a:accent5>
        <a:srgbClr val="00B0B9"/>
      </a:accent5>
      <a:accent6>
        <a:srgbClr val="F2A900"/>
      </a:accent6>
      <a:hlink>
        <a:srgbClr val="1D569B"/>
      </a:hlink>
      <a:folHlink>
        <a:srgbClr val="EE2A4B"/>
      </a:folHlink>
    </a:clrScheme>
    <a:fontScheme name="Trikay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3DB241B-802A-4FC7-BD14-E5AABB9D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4</Pages>
  <Words>800</Words>
  <Characters>4601</Characters>
  <Application>Microsoft Office Word</Application>
  <DocSecurity>0</DocSecurity>
  <Lines>104</Lines>
  <Paragraphs>39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/>
      <vt:lpstr>    Ceny novostaveb v Brně opatrně rostou</vt:lpstr>
      <vt:lpstr>    Ceny novostaveb v Brně opatrně rostou</vt:lpstr>
      <vt:lpstr>    </vt:lpstr>
      <vt:lpstr>    Největší zájem je o malometrážní byty</vt:lpstr>
      <vt:lpstr>    Ekonomové očekávají nárůst poptávky	 </vt:lpstr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Erml</dc:creator>
  <cp:keywords/>
  <dc:description/>
  <cp:lastModifiedBy>Tashi Erml</cp:lastModifiedBy>
  <cp:revision>29</cp:revision>
  <cp:lastPrinted>2023-04-04T10:35:00Z</cp:lastPrinted>
  <dcterms:created xsi:type="dcterms:W3CDTF">2023-10-12T11:53:00Z</dcterms:created>
  <dcterms:modified xsi:type="dcterms:W3CDTF">2024-07-09T08:17:00Z</dcterms:modified>
</cp:coreProperties>
</file>